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60618" w:rsidTr="00D01C30">
        <w:trPr>
          <w:cantSplit/>
          <w:trHeight w:val="1293"/>
          <w:jc w:val="center"/>
        </w:trPr>
        <w:tc>
          <w:tcPr>
            <w:tcW w:w="4608" w:type="dxa"/>
          </w:tcPr>
          <w:p w:rsidR="00160618" w:rsidRDefault="00160618" w:rsidP="00D01C30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039789" wp14:editId="03D96406">
                  <wp:extent cx="539750" cy="679450"/>
                  <wp:effectExtent l="0" t="0" r="0" b="6350"/>
                  <wp:docPr id="29" name="Рисунок 2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618" w:rsidRDefault="00160618" w:rsidP="00160618">
      <w:pPr>
        <w:pStyle w:val="a5"/>
      </w:pPr>
      <w:r>
        <w:t>СОВЕТ  ДЕПУТАТОВ</w:t>
      </w:r>
    </w:p>
    <w:p w:rsidR="00160618" w:rsidRDefault="00160618" w:rsidP="00160618">
      <w:pPr>
        <w:pStyle w:val="a5"/>
      </w:pPr>
      <w:r>
        <w:t xml:space="preserve"> ДОБРИНСКОГО МУНИЦИПАЛЬНОГО РАЙОНА</w:t>
      </w:r>
    </w:p>
    <w:p w:rsidR="00160618" w:rsidRDefault="00160618" w:rsidP="00160618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60618" w:rsidRDefault="00160618" w:rsidP="00160618">
      <w:pPr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60618" w:rsidRDefault="00160618" w:rsidP="00160618">
      <w:pPr>
        <w:jc w:val="center"/>
        <w:rPr>
          <w:sz w:val="32"/>
        </w:rPr>
      </w:pPr>
    </w:p>
    <w:p w:rsidR="00160618" w:rsidRPr="00C1503F" w:rsidRDefault="00160618" w:rsidP="00160618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160618" w:rsidRDefault="00160618" w:rsidP="00160618">
      <w:pPr>
        <w:pStyle w:val="3"/>
        <w:ind w:left="0"/>
        <w:jc w:val="center"/>
      </w:pPr>
    </w:p>
    <w:p w:rsidR="00160618" w:rsidRPr="00F141E0" w:rsidRDefault="00160618" w:rsidP="00160618">
      <w:pPr>
        <w:pStyle w:val="3"/>
        <w:ind w:left="0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141E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41E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141E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</w:t>
      </w:r>
      <w:r w:rsidRPr="00F141E0">
        <w:rPr>
          <w:sz w:val="28"/>
          <w:szCs w:val="28"/>
        </w:rPr>
        <w:t xml:space="preserve">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№</w:t>
      </w:r>
      <w:r>
        <w:rPr>
          <w:sz w:val="28"/>
          <w:szCs w:val="28"/>
        </w:rPr>
        <w:t>27</w:t>
      </w:r>
      <w:r w:rsidRPr="00F141E0">
        <w:rPr>
          <w:sz w:val="28"/>
          <w:szCs w:val="28"/>
        </w:rPr>
        <w:t>-рс</w:t>
      </w:r>
    </w:p>
    <w:p w:rsidR="00160618" w:rsidRDefault="00160618" w:rsidP="00160618">
      <w:pPr>
        <w:ind w:firstLine="851"/>
        <w:jc w:val="both"/>
        <w:rPr>
          <w:iCs/>
          <w:sz w:val="28"/>
          <w:szCs w:val="28"/>
        </w:rPr>
      </w:pPr>
    </w:p>
    <w:p w:rsidR="00160618" w:rsidRDefault="00160618" w:rsidP="00160618">
      <w:pPr>
        <w:ind w:firstLine="851"/>
        <w:jc w:val="both"/>
        <w:rPr>
          <w:iCs/>
          <w:sz w:val="28"/>
          <w:szCs w:val="28"/>
        </w:rPr>
      </w:pPr>
    </w:p>
    <w:p w:rsidR="00160618" w:rsidRDefault="00160618" w:rsidP="00160618">
      <w:pPr>
        <w:pStyle w:val="paragraph"/>
        <w:ind w:left="54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внесении изменений в Положение «О </w:t>
      </w:r>
      <w:r w:rsidRPr="00B35935">
        <w:rPr>
          <w:rStyle w:val="normaltextrun"/>
          <w:b/>
          <w:bCs/>
          <w:sz w:val="28"/>
          <w:szCs w:val="28"/>
        </w:rPr>
        <w:t>социальных гарантиях выборных должностных лиц</w:t>
      </w:r>
      <w:r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C502CC">
        <w:rPr>
          <w:rStyle w:val="spellingerror"/>
          <w:b/>
          <w:sz w:val="28"/>
          <w:szCs w:val="28"/>
        </w:rPr>
        <w:t>Добринского</w:t>
      </w:r>
      <w:proofErr w:type="spellEnd"/>
      <w:r w:rsidRPr="00B35935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>
        <w:rPr>
          <w:rStyle w:val="normaltextrun"/>
          <w:b/>
          <w:bCs/>
          <w:sz w:val="28"/>
          <w:szCs w:val="28"/>
        </w:rPr>
        <w:t>»</w:t>
      </w:r>
    </w:p>
    <w:p w:rsidR="00160618" w:rsidRPr="00B35935" w:rsidRDefault="00160618" w:rsidP="00160618">
      <w:pPr>
        <w:pStyle w:val="paragraph"/>
        <w:ind w:left="54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160618" w:rsidRDefault="00160618" w:rsidP="00160618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60618" w:rsidRDefault="00160618" w:rsidP="00160618">
      <w:pPr>
        <w:pStyle w:val="paragraph"/>
        <w:ind w:firstLine="540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B35935">
        <w:rPr>
          <w:rStyle w:val="normaltextrun"/>
          <w:sz w:val="28"/>
          <w:szCs w:val="28"/>
        </w:rPr>
        <w:t xml:space="preserve">Рассмотрев представленный администрацией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проект </w:t>
      </w:r>
      <w:r>
        <w:rPr>
          <w:rStyle w:val="normaltextrun"/>
          <w:sz w:val="28"/>
          <w:szCs w:val="28"/>
        </w:rPr>
        <w:t>изменений в Положение «О</w:t>
      </w:r>
      <w:r w:rsidRPr="00B35935">
        <w:rPr>
          <w:rStyle w:val="normaltextrun"/>
          <w:sz w:val="28"/>
          <w:szCs w:val="28"/>
        </w:rPr>
        <w:t xml:space="preserve"> социальных гарантиях должностных лиц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>»</w:t>
      </w:r>
      <w:r w:rsidRPr="00B35935">
        <w:rPr>
          <w:rStyle w:val="normaltextrun"/>
          <w:sz w:val="28"/>
          <w:szCs w:val="28"/>
        </w:rPr>
        <w:t xml:space="preserve">, руководствуясь </w:t>
      </w:r>
      <w:r>
        <w:rPr>
          <w:rStyle w:val="normaltextrun"/>
          <w:sz w:val="28"/>
          <w:szCs w:val="28"/>
        </w:rPr>
        <w:t>постановлением администрации Липецкой области от 17.11.2020 №618 «О внесении изменений в постановление администрации Липецкой области от 05.07.2016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</w:r>
      <w:proofErr w:type="gramEnd"/>
      <w:r>
        <w:rPr>
          <w:rStyle w:val="normaltextrun"/>
          <w:sz w:val="28"/>
          <w:szCs w:val="28"/>
        </w:rPr>
        <w:t xml:space="preserve">», ст.27 Устава </w:t>
      </w:r>
      <w:proofErr w:type="spellStart"/>
      <w:r>
        <w:rPr>
          <w:rStyle w:val="normaltextrun"/>
          <w:sz w:val="28"/>
          <w:szCs w:val="28"/>
        </w:rPr>
        <w:t>Добринского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B35935">
        <w:rPr>
          <w:rStyle w:val="normaltextrun"/>
          <w:sz w:val="28"/>
          <w:szCs w:val="28"/>
        </w:rPr>
        <w:t xml:space="preserve">муниципального района, учитывая </w:t>
      </w:r>
      <w:r>
        <w:rPr>
          <w:rStyle w:val="normaltextrun"/>
          <w:sz w:val="28"/>
          <w:szCs w:val="28"/>
        </w:rPr>
        <w:t xml:space="preserve">совместное </w:t>
      </w:r>
      <w:r w:rsidRPr="00B35935">
        <w:rPr>
          <w:rStyle w:val="normaltextrun"/>
          <w:sz w:val="28"/>
          <w:szCs w:val="28"/>
        </w:rPr>
        <w:t>решени</w:t>
      </w:r>
      <w:r>
        <w:rPr>
          <w:rStyle w:val="normaltextrun"/>
          <w:sz w:val="28"/>
          <w:szCs w:val="28"/>
        </w:rPr>
        <w:t>е</w:t>
      </w:r>
      <w:r w:rsidRPr="00B35935">
        <w:rPr>
          <w:rStyle w:val="normaltextrun"/>
          <w:sz w:val="28"/>
          <w:szCs w:val="28"/>
        </w:rPr>
        <w:t xml:space="preserve"> </w:t>
      </w:r>
      <w:r w:rsidRPr="001D5E11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1D5E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 по экономике, бюджету, муниципальной собственности и социальным вопросам и </w:t>
      </w:r>
      <w:r w:rsidRPr="00B35935">
        <w:rPr>
          <w:rStyle w:val="normaltextrun"/>
          <w:sz w:val="28"/>
          <w:szCs w:val="28"/>
        </w:rPr>
        <w:t xml:space="preserve">по правовым вопросам, местному самоуправлению и работе с депутатами, Совет депутатов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</w:t>
      </w:r>
    </w:p>
    <w:p w:rsidR="00160618" w:rsidRDefault="00160618" w:rsidP="00160618">
      <w:pPr>
        <w:pStyle w:val="paragraph"/>
        <w:ind w:firstLine="540"/>
        <w:jc w:val="both"/>
        <w:textAlignment w:val="baseline"/>
        <w:rPr>
          <w:rStyle w:val="eop"/>
          <w:b/>
          <w:sz w:val="28"/>
          <w:szCs w:val="28"/>
        </w:rPr>
      </w:pPr>
      <w:r w:rsidRPr="00257176">
        <w:rPr>
          <w:rStyle w:val="normaltextrun"/>
          <w:b/>
          <w:sz w:val="28"/>
          <w:szCs w:val="28"/>
        </w:rPr>
        <w:t>РЕШИЛ:</w:t>
      </w:r>
      <w:r w:rsidRPr="00257176">
        <w:rPr>
          <w:rStyle w:val="eop"/>
          <w:b/>
          <w:sz w:val="28"/>
          <w:szCs w:val="28"/>
        </w:rPr>
        <w:t> </w:t>
      </w:r>
    </w:p>
    <w:p w:rsidR="00160618" w:rsidRPr="00257176" w:rsidRDefault="00160618" w:rsidP="00160618">
      <w:pPr>
        <w:pStyle w:val="paragraph"/>
        <w:ind w:firstLine="54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</w:p>
    <w:p w:rsidR="00160618" w:rsidRDefault="00160618" w:rsidP="00160618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Pr="00B35935">
        <w:rPr>
          <w:rStyle w:val="normaltextrun"/>
          <w:sz w:val="28"/>
          <w:szCs w:val="28"/>
        </w:rPr>
        <w:t>Принять</w:t>
      </w:r>
      <w:r>
        <w:rPr>
          <w:rStyle w:val="normaltextrun"/>
          <w:sz w:val="28"/>
          <w:szCs w:val="28"/>
        </w:rPr>
        <w:t xml:space="preserve"> изменения в Положение «О</w:t>
      </w:r>
      <w:r w:rsidRPr="00B35935">
        <w:rPr>
          <w:rStyle w:val="normaltextrun"/>
          <w:sz w:val="28"/>
          <w:szCs w:val="28"/>
        </w:rPr>
        <w:t xml:space="preserve"> социальны</w:t>
      </w:r>
      <w:r>
        <w:rPr>
          <w:rStyle w:val="normaltextrun"/>
          <w:sz w:val="28"/>
          <w:szCs w:val="28"/>
        </w:rPr>
        <w:t>х</w:t>
      </w:r>
      <w:r w:rsidRPr="00B35935">
        <w:rPr>
          <w:rStyle w:val="normaltextrun"/>
          <w:sz w:val="28"/>
          <w:szCs w:val="28"/>
        </w:rPr>
        <w:t xml:space="preserve"> гаранти</w:t>
      </w:r>
      <w:r>
        <w:rPr>
          <w:rStyle w:val="normaltextrun"/>
          <w:sz w:val="28"/>
          <w:szCs w:val="28"/>
        </w:rPr>
        <w:t>ях выборных</w:t>
      </w:r>
      <w:r w:rsidRPr="00B35935">
        <w:rPr>
          <w:rStyle w:val="normaltextrun"/>
          <w:sz w:val="28"/>
          <w:szCs w:val="28"/>
        </w:rPr>
        <w:t xml:space="preserve"> должностных лиц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>»</w:t>
      </w:r>
      <w:r w:rsidRPr="00B35935">
        <w:rPr>
          <w:rStyle w:val="normaltextrun"/>
          <w:sz w:val="28"/>
          <w:szCs w:val="28"/>
        </w:rPr>
        <w:t xml:space="preserve"> (прилага</w:t>
      </w:r>
      <w:r>
        <w:rPr>
          <w:rStyle w:val="normaltextrun"/>
          <w:sz w:val="28"/>
          <w:szCs w:val="28"/>
        </w:rPr>
        <w:t>ю</w:t>
      </w:r>
      <w:r w:rsidRPr="00B35935">
        <w:rPr>
          <w:rStyle w:val="normaltextrun"/>
          <w:sz w:val="28"/>
          <w:szCs w:val="28"/>
        </w:rPr>
        <w:t>тся).</w:t>
      </w:r>
      <w:r w:rsidRPr="00B35935">
        <w:rPr>
          <w:rStyle w:val="eop"/>
          <w:sz w:val="28"/>
          <w:szCs w:val="28"/>
        </w:rPr>
        <w:t> </w:t>
      </w:r>
    </w:p>
    <w:p w:rsidR="00160618" w:rsidRPr="00B35935" w:rsidRDefault="00160618" w:rsidP="00160618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60618" w:rsidRDefault="00160618" w:rsidP="00160618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 w:rsidRPr="00B35935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</w:t>
      </w:r>
      <w:r w:rsidRPr="00B35935">
        <w:rPr>
          <w:rStyle w:val="normaltextrun"/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для подписания и официального опубликования.</w:t>
      </w:r>
      <w:r w:rsidRPr="00B35935">
        <w:rPr>
          <w:rStyle w:val="eop"/>
          <w:sz w:val="28"/>
          <w:szCs w:val="28"/>
        </w:rPr>
        <w:t> </w:t>
      </w:r>
    </w:p>
    <w:p w:rsidR="00160618" w:rsidRPr="00B35935" w:rsidRDefault="00160618" w:rsidP="00160618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60618" w:rsidRPr="00B35935" w:rsidRDefault="00160618" w:rsidP="00160618">
      <w:pPr>
        <w:pStyle w:val="paragraph"/>
        <w:ind w:left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normaltextrun"/>
          <w:sz w:val="28"/>
          <w:szCs w:val="28"/>
        </w:rPr>
        <w:t>3. Настоящее решение вступает в силу с</w:t>
      </w:r>
      <w:r>
        <w:rPr>
          <w:rStyle w:val="normaltextrun"/>
          <w:sz w:val="28"/>
          <w:szCs w:val="28"/>
        </w:rPr>
        <w:t>о дня принятия.</w:t>
      </w:r>
      <w:r w:rsidRPr="00B35935">
        <w:rPr>
          <w:rStyle w:val="eop"/>
          <w:sz w:val="28"/>
          <w:szCs w:val="28"/>
        </w:rPr>
        <w:t> </w:t>
      </w:r>
    </w:p>
    <w:p w:rsidR="00160618" w:rsidRPr="00B35935" w:rsidRDefault="00160618" w:rsidP="00160618">
      <w:pPr>
        <w:pStyle w:val="paragraph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eop"/>
          <w:rFonts w:ascii="Calibri" w:hAnsi="Calibri" w:cs="Segoe UI"/>
          <w:sz w:val="28"/>
          <w:szCs w:val="28"/>
        </w:rPr>
        <w:t> </w:t>
      </w:r>
    </w:p>
    <w:p w:rsidR="00160618" w:rsidRDefault="00160618" w:rsidP="00160618"/>
    <w:p w:rsidR="00160618" w:rsidRPr="004664E6" w:rsidRDefault="00160618" w:rsidP="00160618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160618" w:rsidRDefault="00160618" w:rsidP="00160618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60618" w:rsidRDefault="00160618" w:rsidP="0016061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60618" w:rsidRPr="00257176" w:rsidRDefault="00160618" w:rsidP="00160618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</w:t>
      </w:r>
      <w:proofErr w:type="gramStart"/>
      <w:r w:rsidRPr="00257176">
        <w:rPr>
          <w:sz w:val="25"/>
          <w:szCs w:val="25"/>
        </w:rPr>
        <w:t>Принят</w:t>
      </w:r>
      <w:r>
        <w:rPr>
          <w:sz w:val="25"/>
          <w:szCs w:val="25"/>
        </w:rPr>
        <w:t>ы</w:t>
      </w:r>
      <w:proofErr w:type="gramEnd"/>
    </w:p>
    <w:p w:rsidR="00160618" w:rsidRPr="00257176" w:rsidRDefault="00160618" w:rsidP="00160618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Pr="00257176">
        <w:rPr>
          <w:sz w:val="25"/>
          <w:szCs w:val="25"/>
        </w:rPr>
        <w:t>решением Совета депутатов</w:t>
      </w:r>
    </w:p>
    <w:p w:rsidR="00160618" w:rsidRPr="00257176" w:rsidRDefault="00160618" w:rsidP="00160618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</w:t>
      </w:r>
      <w:proofErr w:type="spellStart"/>
      <w:r w:rsidRPr="00257176">
        <w:rPr>
          <w:sz w:val="25"/>
          <w:szCs w:val="25"/>
        </w:rPr>
        <w:t>Добринского</w:t>
      </w:r>
      <w:proofErr w:type="spellEnd"/>
      <w:r w:rsidRPr="00257176">
        <w:rPr>
          <w:sz w:val="25"/>
          <w:szCs w:val="25"/>
        </w:rPr>
        <w:t xml:space="preserve"> муниципального района</w:t>
      </w:r>
    </w:p>
    <w:p w:rsidR="00160618" w:rsidRDefault="00160618" w:rsidP="00160618">
      <w:pPr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  <w:r w:rsidRPr="00257176">
        <w:rPr>
          <w:sz w:val="25"/>
          <w:szCs w:val="25"/>
        </w:rPr>
        <w:t>от 2</w:t>
      </w:r>
      <w:r>
        <w:rPr>
          <w:sz w:val="25"/>
          <w:szCs w:val="25"/>
        </w:rPr>
        <w:t>5</w:t>
      </w:r>
      <w:r w:rsidRPr="00257176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257176">
        <w:rPr>
          <w:sz w:val="25"/>
          <w:szCs w:val="25"/>
        </w:rPr>
        <w:t>.20</w:t>
      </w:r>
      <w:r>
        <w:rPr>
          <w:sz w:val="25"/>
          <w:szCs w:val="25"/>
        </w:rPr>
        <w:t>20</w:t>
      </w:r>
      <w:r w:rsidRPr="00257176">
        <w:rPr>
          <w:sz w:val="25"/>
          <w:szCs w:val="25"/>
        </w:rPr>
        <w:t xml:space="preserve"> года   №</w:t>
      </w:r>
      <w:r>
        <w:rPr>
          <w:sz w:val="25"/>
          <w:szCs w:val="25"/>
        </w:rPr>
        <w:t>27-</w:t>
      </w:r>
      <w:r w:rsidRPr="00257176">
        <w:rPr>
          <w:sz w:val="25"/>
          <w:szCs w:val="25"/>
        </w:rPr>
        <w:t xml:space="preserve"> </w:t>
      </w:r>
      <w:proofErr w:type="spellStart"/>
      <w:r w:rsidRPr="00257176">
        <w:rPr>
          <w:sz w:val="25"/>
          <w:szCs w:val="25"/>
        </w:rPr>
        <w:t>рс</w:t>
      </w:r>
      <w:proofErr w:type="spellEnd"/>
    </w:p>
    <w:p w:rsidR="00160618" w:rsidRDefault="00160618" w:rsidP="00160618">
      <w:pPr>
        <w:pStyle w:val="a3"/>
        <w:jc w:val="center"/>
        <w:rPr>
          <w:b/>
          <w:sz w:val="28"/>
          <w:szCs w:val="28"/>
        </w:rPr>
      </w:pPr>
    </w:p>
    <w:p w:rsidR="00160618" w:rsidRPr="00E46740" w:rsidRDefault="00160618" w:rsidP="00160618">
      <w:pPr>
        <w:pStyle w:val="a3"/>
        <w:jc w:val="center"/>
        <w:rPr>
          <w:rFonts w:ascii="Segoe UI" w:hAnsi="Segoe UI" w:cs="Segoe UI"/>
          <w:b/>
        </w:rPr>
      </w:pPr>
      <w:r w:rsidRPr="00E46740">
        <w:rPr>
          <w:b/>
        </w:rPr>
        <w:t>ИЗМЕНЕНИЯ  В  ПОЛОЖЕНИЕ</w:t>
      </w:r>
    </w:p>
    <w:p w:rsidR="00160618" w:rsidRPr="00E46740" w:rsidRDefault="00160618" w:rsidP="00160618">
      <w:pPr>
        <w:pStyle w:val="a3"/>
        <w:jc w:val="center"/>
        <w:rPr>
          <w:rFonts w:ascii="Segoe UI" w:hAnsi="Segoe UI" w:cs="Segoe UI"/>
          <w:b/>
        </w:rPr>
      </w:pPr>
      <w:r w:rsidRPr="00E46740">
        <w:rPr>
          <w:b/>
          <w:bCs/>
        </w:rPr>
        <w:t>О СОЦИАЛЬНЫХ ГАРАНТИЯХ ВЫБОРНЫХ ДОЛЖНОСТНЫХ ЛИЦ</w:t>
      </w:r>
    </w:p>
    <w:p w:rsidR="00160618" w:rsidRPr="00E46740" w:rsidRDefault="00160618" w:rsidP="00160618">
      <w:pPr>
        <w:pStyle w:val="a3"/>
        <w:jc w:val="center"/>
        <w:rPr>
          <w:b/>
          <w:bCs/>
        </w:rPr>
      </w:pPr>
      <w:r w:rsidRPr="00E46740">
        <w:rPr>
          <w:b/>
          <w:bCs/>
        </w:rPr>
        <w:t>ДОБРИНСКОГО МУНИЦИПАЛЬНОГО РАЙОНА</w:t>
      </w:r>
    </w:p>
    <w:p w:rsidR="00160618" w:rsidRDefault="00160618" w:rsidP="00160618">
      <w:pPr>
        <w:pStyle w:val="a3"/>
        <w:jc w:val="center"/>
        <w:rPr>
          <w:b/>
          <w:bCs/>
          <w:sz w:val="28"/>
          <w:szCs w:val="28"/>
        </w:rPr>
      </w:pPr>
    </w:p>
    <w:p w:rsidR="00160618" w:rsidRDefault="00160618" w:rsidP="00160618">
      <w:pPr>
        <w:pStyle w:val="a3"/>
        <w:jc w:val="both"/>
        <w:rPr>
          <w:rStyle w:val="normaltextrun"/>
          <w:sz w:val="28"/>
          <w:szCs w:val="28"/>
        </w:rPr>
      </w:pPr>
      <w:r>
        <w:rPr>
          <w:bCs/>
          <w:sz w:val="28"/>
          <w:szCs w:val="28"/>
        </w:rPr>
        <w:tab/>
      </w:r>
      <w:r w:rsidRPr="002775BF">
        <w:rPr>
          <w:bCs/>
          <w:sz w:val="28"/>
          <w:szCs w:val="28"/>
        </w:rPr>
        <w:t>1.Внести в Положение «</w:t>
      </w:r>
      <w:r w:rsidRPr="002775BF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proofErr w:type="spellStart"/>
      <w:r w:rsidRPr="002775BF">
        <w:rPr>
          <w:rStyle w:val="spellingerror"/>
          <w:sz w:val="28"/>
          <w:szCs w:val="28"/>
        </w:rPr>
        <w:t>Добринского</w:t>
      </w:r>
      <w:proofErr w:type="spellEnd"/>
      <w:r w:rsidRPr="002775BF">
        <w:rPr>
          <w:rStyle w:val="normaltextrun"/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2775BF">
        <w:rPr>
          <w:rStyle w:val="normaltextrun"/>
          <w:sz w:val="28"/>
          <w:szCs w:val="28"/>
        </w:rPr>
        <w:t>Добринского</w:t>
      </w:r>
      <w:proofErr w:type="spellEnd"/>
      <w:r w:rsidRPr="002775BF">
        <w:rPr>
          <w:rStyle w:val="normaltextrun"/>
          <w:sz w:val="28"/>
          <w:szCs w:val="28"/>
        </w:rPr>
        <w:t xml:space="preserve"> муниципального района от 27.09.2016 </w:t>
      </w:r>
      <w:r>
        <w:rPr>
          <w:rStyle w:val="normaltextrun"/>
          <w:sz w:val="28"/>
          <w:szCs w:val="28"/>
        </w:rPr>
        <w:t>№</w:t>
      </w:r>
      <w:r w:rsidRPr="002775BF">
        <w:rPr>
          <w:rStyle w:val="normaltextrun"/>
          <w:sz w:val="28"/>
          <w:szCs w:val="28"/>
        </w:rPr>
        <w:t>100-рс</w:t>
      </w:r>
      <w:r>
        <w:rPr>
          <w:rStyle w:val="normaltextrun"/>
          <w:sz w:val="28"/>
          <w:szCs w:val="28"/>
        </w:rPr>
        <w:t xml:space="preserve"> </w:t>
      </w:r>
      <w:r w:rsidRPr="00CB7B2C">
        <w:rPr>
          <w:rFonts w:eastAsiaTheme="minorHAnsi"/>
          <w:bCs/>
          <w:sz w:val="28"/>
          <w:szCs w:val="28"/>
          <w:lang w:eastAsia="en-US"/>
        </w:rPr>
        <w:t>(с внесенными изменениями решени</w:t>
      </w:r>
      <w:r>
        <w:rPr>
          <w:rFonts w:eastAsiaTheme="minorHAnsi"/>
          <w:bCs/>
          <w:sz w:val="28"/>
          <w:szCs w:val="28"/>
          <w:lang w:eastAsia="en-US"/>
        </w:rPr>
        <w:t>ями</w:t>
      </w:r>
      <w:r w:rsidRPr="00CB7B2C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CB7B2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B7B2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:</w:t>
      </w:r>
      <w:r w:rsidRPr="00CB7B2C">
        <w:rPr>
          <w:rFonts w:eastAsiaTheme="minorHAnsi"/>
          <w:bCs/>
          <w:sz w:val="28"/>
          <w:szCs w:val="28"/>
          <w:lang w:eastAsia="en-US"/>
        </w:rPr>
        <w:t xml:space="preserve"> от </w:t>
      </w:r>
      <w:r>
        <w:rPr>
          <w:rFonts w:eastAsiaTheme="minorHAnsi"/>
          <w:bCs/>
          <w:sz w:val="28"/>
          <w:szCs w:val="28"/>
          <w:lang w:eastAsia="en-US"/>
        </w:rPr>
        <w:t>26</w:t>
      </w:r>
      <w:r w:rsidRPr="00CB7B2C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CB7B2C">
        <w:rPr>
          <w:rFonts w:eastAsiaTheme="minorHAnsi"/>
          <w:bCs/>
          <w:sz w:val="28"/>
          <w:szCs w:val="28"/>
          <w:lang w:eastAsia="en-US"/>
        </w:rPr>
        <w:t>.201</w:t>
      </w:r>
      <w:r>
        <w:rPr>
          <w:rFonts w:eastAsiaTheme="minorHAnsi"/>
          <w:bCs/>
          <w:sz w:val="28"/>
          <w:szCs w:val="28"/>
          <w:lang w:eastAsia="en-US"/>
        </w:rPr>
        <w:t xml:space="preserve">7 </w:t>
      </w:r>
      <w:r w:rsidRPr="00CB7B2C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>206-рс,</w:t>
      </w:r>
      <w:r w:rsidRPr="00CB7B2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23.12.2019 №313-рс</w:t>
      </w:r>
      <w:r w:rsidRPr="00CB7B2C">
        <w:rPr>
          <w:rFonts w:eastAsiaTheme="minorHAnsi"/>
          <w:bCs/>
          <w:sz w:val="28"/>
          <w:szCs w:val="28"/>
          <w:lang w:eastAsia="en-US"/>
        </w:rPr>
        <w:t>)</w:t>
      </w:r>
      <w:r w:rsidRPr="002775BF">
        <w:rPr>
          <w:rStyle w:val="normaltextrun"/>
          <w:sz w:val="28"/>
          <w:szCs w:val="28"/>
        </w:rPr>
        <w:t>, следующие изменения:</w:t>
      </w:r>
    </w:p>
    <w:p w:rsidR="00160618" w:rsidRPr="002775BF" w:rsidRDefault="00160618" w:rsidP="00160618">
      <w:pPr>
        <w:pStyle w:val="a3"/>
        <w:jc w:val="both"/>
        <w:rPr>
          <w:rStyle w:val="normaltextrun"/>
          <w:sz w:val="28"/>
          <w:szCs w:val="28"/>
        </w:rPr>
      </w:pPr>
    </w:p>
    <w:p w:rsidR="00160618" w:rsidRDefault="00160618" w:rsidP="0016061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7BDA">
        <w:rPr>
          <w:rFonts w:eastAsiaTheme="minorHAnsi"/>
          <w:bCs/>
          <w:sz w:val="28"/>
          <w:szCs w:val="28"/>
          <w:lang w:eastAsia="en-US"/>
        </w:rPr>
        <w:t>Статью 3.2.</w:t>
      </w:r>
      <w:r w:rsidRPr="007A7BDA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фонда оплаты труда </w:t>
      </w:r>
      <w:r w:rsidRPr="007A7BDA">
        <w:rPr>
          <w:sz w:val="28"/>
          <w:szCs w:val="28"/>
        </w:rPr>
        <w:t>изложить в следующей редакции:</w:t>
      </w:r>
    </w:p>
    <w:p w:rsidR="00160618" w:rsidRPr="007A7BDA" w:rsidRDefault="00160618" w:rsidP="0016061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формировании </w:t>
      </w:r>
      <w:proofErr w:type="gramStart"/>
      <w:r>
        <w:rPr>
          <w:sz w:val="28"/>
          <w:szCs w:val="28"/>
        </w:rPr>
        <w:t>фонда оплаты труда выборных должностных лиц местного самоуправления</w:t>
      </w:r>
      <w:proofErr w:type="gramEnd"/>
      <w:r>
        <w:rPr>
          <w:sz w:val="28"/>
          <w:szCs w:val="28"/>
        </w:rPr>
        <w:t xml:space="preserve"> предусматриваются средства на выплату (в расчете на год):</w:t>
      </w:r>
    </w:p>
    <w:p w:rsidR="00160618" w:rsidRDefault="00160618" w:rsidP="00160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18" w:rsidRDefault="00160618" w:rsidP="0016061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2"/>
      </w:tblGrid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 xml:space="preserve">№ </w:t>
            </w:r>
            <w:proofErr w:type="gramStart"/>
            <w:r w:rsidRPr="007A7BDA">
              <w:rPr>
                <w:sz w:val="24"/>
                <w:szCs w:val="24"/>
              </w:rPr>
              <w:t>п</w:t>
            </w:r>
            <w:proofErr w:type="gramEnd"/>
            <w:r w:rsidRPr="007A7BDA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Размер выплаты</w:t>
            </w:r>
          </w:p>
        </w:tc>
      </w:tr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ежемесячных денежных вознаграждений</w:t>
            </w:r>
          </w:p>
        </w:tc>
      </w:tr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60618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</w:t>
            </w:r>
          </w:p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ежемесячных денежных вознаграждений</w:t>
            </w:r>
          </w:p>
        </w:tc>
      </w:tr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ежемесячных денежных вознаграждений с учетом ежемесячного денежного поощрения</w:t>
            </w:r>
          </w:p>
        </w:tc>
      </w:tr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премия по итогам работы за год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60618" w:rsidRPr="007A7BDA" w:rsidRDefault="00160618" w:rsidP="00D01C30">
            <w:pPr>
              <w:tabs>
                <w:tab w:val="left" w:pos="10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денежное вознаграждение за выполнение особо важных и сложных заданий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ежемесячное денежное вознаграждение</w:t>
            </w:r>
          </w:p>
        </w:tc>
      </w:tr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 при предоставлении отпуска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ежемесячных денежных вознаграждений</w:t>
            </w:r>
          </w:p>
        </w:tc>
      </w:tr>
      <w:tr w:rsidR="00160618" w:rsidRPr="007A7BDA" w:rsidTr="00D01C30">
        <w:tc>
          <w:tcPr>
            <w:tcW w:w="817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DA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ежемесячных денежных вознаграждений</w:t>
            </w:r>
          </w:p>
        </w:tc>
        <w:tc>
          <w:tcPr>
            <w:tcW w:w="4642" w:type="dxa"/>
          </w:tcPr>
          <w:p w:rsidR="00160618" w:rsidRPr="007A7BDA" w:rsidRDefault="00160618" w:rsidP="00D01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</w:tbl>
    <w:p w:rsidR="00160618" w:rsidRPr="003A06F1" w:rsidRDefault="00160618" w:rsidP="00160618">
      <w:pPr>
        <w:tabs>
          <w:tab w:val="left" w:pos="8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ab/>
      </w:r>
    </w:p>
    <w:p w:rsidR="00160618" w:rsidRDefault="00160618" w:rsidP="00160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18" w:rsidRPr="002775BF" w:rsidRDefault="00160618" w:rsidP="00160618">
      <w:pPr>
        <w:jc w:val="both"/>
        <w:rPr>
          <w:sz w:val="28"/>
          <w:szCs w:val="28"/>
        </w:rPr>
      </w:pPr>
      <w:r w:rsidRPr="002775BF">
        <w:rPr>
          <w:b/>
          <w:bCs/>
          <w:sz w:val="28"/>
          <w:szCs w:val="28"/>
        </w:rPr>
        <w:t>Глава</w:t>
      </w:r>
    </w:p>
    <w:p w:rsidR="000B336E" w:rsidRDefault="00160618" w:rsidP="00427D64">
      <w:pPr>
        <w:autoSpaceDE w:val="0"/>
        <w:autoSpaceDN w:val="0"/>
        <w:adjustRightInd w:val="0"/>
        <w:jc w:val="both"/>
      </w:pPr>
      <w:proofErr w:type="spellStart"/>
      <w:r w:rsidRPr="002775BF">
        <w:rPr>
          <w:b/>
          <w:bCs/>
          <w:sz w:val="28"/>
          <w:szCs w:val="28"/>
        </w:rPr>
        <w:t>Добринского</w:t>
      </w:r>
      <w:proofErr w:type="spellEnd"/>
      <w:r w:rsidRPr="002775BF">
        <w:rPr>
          <w:b/>
          <w:bCs/>
          <w:sz w:val="28"/>
          <w:szCs w:val="28"/>
        </w:rPr>
        <w:t xml:space="preserve"> муниципального района                    </w:t>
      </w:r>
      <w:r>
        <w:rPr>
          <w:b/>
          <w:bCs/>
          <w:sz w:val="28"/>
          <w:szCs w:val="28"/>
        </w:rPr>
        <w:t xml:space="preserve">          </w:t>
      </w:r>
      <w:r w:rsidRPr="002775BF"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Р.И.Ченцов</w:t>
      </w:r>
      <w:proofErr w:type="spellEnd"/>
      <w:r w:rsidRPr="002775BF">
        <w:rPr>
          <w:b/>
          <w:bCs/>
          <w:sz w:val="28"/>
          <w:szCs w:val="28"/>
        </w:rPr>
        <w:t xml:space="preserve">  </w:t>
      </w:r>
    </w:p>
    <w:sectPr w:rsidR="000B336E" w:rsidSect="001606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18"/>
    <w:rsid w:val="000B336E"/>
    <w:rsid w:val="00160618"/>
    <w:rsid w:val="0042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606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60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0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60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0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6061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606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60618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60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0618"/>
    <w:rPr>
      <w:sz w:val="24"/>
      <w:szCs w:val="24"/>
    </w:rPr>
  </w:style>
  <w:style w:type="character" w:customStyle="1" w:styleId="spellingerror">
    <w:name w:val="spellingerror"/>
    <w:basedOn w:val="a0"/>
    <w:rsid w:val="00160618"/>
  </w:style>
  <w:style w:type="character" w:customStyle="1" w:styleId="normaltextrun">
    <w:name w:val="normaltextrun"/>
    <w:basedOn w:val="a0"/>
    <w:rsid w:val="00160618"/>
  </w:style>
  <w:style w:type="character" w:customStyle="1" w:styleId="eop">
    <w:name w:val="eop"/>
    <w:basedOn w:val="a0"/>
    <w:rsid w:val="00160618"/>
  </w:style>
  <w:style w:type="table" w:styleId="a9">
    <w:name w:val="Table Grid"/>
    <w:basedOn w:val="a1"/>
    <w:uiPriority w:val="39"/>
    <w:rsid w:val="0016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0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606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60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0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60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0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6061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606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60618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60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0618"/>
    <w:rPr>
      <w:sz w:val="24"/>
      <w:szCs w:val="24"/>
    </w:rPr>
  </w:style>
  <w:style w:type="character" w:customStyle="1" w:styleId="spellingerror">
    <w:name w:val="spellingerror"/>
    <w:basedOn w:val="a0"/>
    <w:rsid w:val="00160618"/>
  </w:style>
  <w:style w:type="character" w:customStyle="1" w:styleId="normaltextrun">
    <w:name w:val="normaltextrun"/>
    <w:basedOn w:val="a0"/>
    <w:rsid w:val="00160618"/>
  </w:style>
  <w:style w:type="character" w:customStyle="1" w:styleId="eop">
    <w:name w:val="eop"/>
    <w:basedOn w:val="a0"/>
    <w:rsid w:val="00160618"/>
  </w:style>
  <w:style w:type="table" w:styleId="a9">
    <w:name w:val="Table Grid"/>
    <w:basedOn w:val="a1"/>
    <w:uiPriority w:val="39"/>
    <w:rsid w:val="0016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0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2020-12-23T06:03:00Z</dcterms:created>
  <dcterms:modified xsi:type="dcterms:W3CDTF">2020-12-23T06:44:00Z</dcterms:modified>
</cp:coreProperties>
</file>