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7D37C1E8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E814EC">
        <w:rPr>
          <w:rStyle w:val="ab"/>
          <w:color w:val="002060"/>
          <w:sz w:val="56"/>
          <w:szCs w:val="56"/>
        </w:rPr>
        <w:t>полугодие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BD5375">
        <w:rPr>
          <w:rStyle w:val="ab"/>
          <w:color w:val="002060"/>
          <w:sz w:val="56"/>
          <w:szCs w:val="56"/>
        </w:rPr>
        <w:t>2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68D8B2ED" w14:textId="77777777" w:rsidR="00FC3453" w:rsidRDefault="00FC3453" w:rsidP="00256DD1">
      <w:pPr>
        <w:spacing w:after="240" w:line="360" w:lineRule="auto"/>
        <w:ind w:firstLine="567"/>
        <w:jc w:val="both"/>
      </w:pPr>
    </w:p>
    <w:p w14:paraId="2BC4CE77" w14:textId="4D0235D9" w:rsidR="00256DD1" w:rsidRPr="00F71DA5" w:rsidRDefault="00256DD1" w:rsidP="00256DD1">
      <w:pPr>
        <w:spacing w:after="240" w:line="360" w:lineRule="auto"/>
        <w:ind w:firstLine="567"/>
        <w:jc w:val="both"/>
      </w:pPr>
      <w:r w:rsidRPr="00F71DA5"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в соответствии со статьей 157 Бюджетного кодекса Российской Федерации, статьей 9 Решения Совета депутатов Добринского муниципального района Липецкой области от 04.03.2022г. № 121-рс «О Положении о Контрольно-счетной комиссии Добринского муниципального района Липецкой области Российской Федерации» на основании данных управления финансов администрации Добринского муниципального района и администраций сельских поселений сельсоветов.</w:t>
      </w:r>
    </w:p>
    <w:p w14:paraId="6E5CA9AB" w14:textId="77777777" w:rsidR="003B0100" w:rsidRDefault="000B1EB8" w:rsidP="003B0100">
      <w:pPr>
        <w:spacing w:before="240"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2575AA">
        <w:rPr>
          <w:b/>
          <w:sz w:val="32"/>
          <w:szCs w:val="32"/>
        </w:rPr>
        <w:t xml:space="preserve"> </w:t>
      </w:r>
    </w:p>
    <w:p w14:paraId="4512F756" w14:textId="3C178BD8" w:rsidR="000B1EB8" w:rsidRPr="00C46423" w:rsidRDefault="002575AA" w:rsidP="003B0100">
      <w:pPr>
        <w:spacing w:before="240"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за 1</w:t>
      </w:r>
      <w:r w:rsidRPr="002575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 w:rsidR="000B1EB8"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</w:t>
      </w:r>
      <w:r w:rsidR="00BD5375">
        <w:rPr>
          <w:b/>
          <w:sz w:val="32"/>
          <w:szCs w:val="32"/>
        </w:rPr>
        <w:t>2</w:t>
      </w:r>
      <w:r w:rsidR="000B1EB8" w:rsidRPr="00C46423">
        <w:rPr>
          <w:b/>
          <w:sz w:val="32"/>
          <w:szCs w:val="32"/>
        </w:rPr>
        <w:t xml:space="preserve"> года.</w:t>
      </w:r>
    </w:p>
    <w:p w14:paraId="05916EB1" w14:textId="298B6BCB" w:rsidR="00256DD1" w:rsidRPr="00F71DA5" w:rsidRDefault="00256DD1" w:rsidP="000D4F94">
      <w:pPr>
        <w:spacing w:line="360" w:lineRule="auto"/>
        <w:ind w:firstLine="567"/>
        <w:jc w:val="both"/>
      </w:pPr>
      <w:r w:rsidRPr="00F71DA5">
        <w:t>Общий анализ изменений основных характеристик районного бюджета по состоянию на 01.07.2022г. приведен в таблице:</w:t>
      </w: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3539"/>
        <w:gridCol w:w="1764"/>
        <w:gridCol w:w="1909"/>
        <w:gridCol w:w="1288"/>
        <w:gridCol w:w="1065"/>
      </w:tblGrid>
      <w:tr w:rsidR="00256DD1" w:rsidRPr="003B0100" w14:paraId="4F9BCB01" w14:textId="77777777" w:rsidTr="000D4F94">
        <w:trPr>
          <w:trHeight w:val="683"/>
        </w:trPr>
        <w:tc>
          <w:tcPr>
            <w:tcW w:w="3539" w:type="dxa"/>
            <w:vMerge w:val="restart"/>
            <w:shd w:val="clear" w:color="auto" w:fill="F8DCD3" w:themeFill="accent6" w:themeFillTint="33"/>
          </w:tcPr>
          <w:p w14:paraId="375032ED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73" w:type="dxa"/>
            <w:gridSpan w:val="2"/>
            <w:shd w:val="clear" w:color="auto" w:fill="F8DCD3" w:themeFill="accent6" w:themeFillTint="33"/>
          </w:tcPr>
          <w:p w14:paraId="1ABE7189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Основные характеристики районного бюджета на 2022 год</w:t>
            </w:r>
          </w:p>
        </w:tc>
        <w:tc>
          <w:tcPr>
            <w:tcW w:w="2353" w:type="dxa"/>
            <w:gridSpan w:val="2"/>
            <w:shd w:val="clear" w:color="auto" w:fill="F8DCD3" w:themeFill="accent6" w:themeFillTint="33"/>
          </w:tcPr>
          <w:p w14:paraId="17165A88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B0100" w:rsidRPr="003B0100" w14:paraId="60805CCF" w14:textId="77777777" w:rsidTr="000D4F94">
        <w:trPr>
          <w:trHeight w:val="1257"/>
        </w:trPr>
        <w:tc>
          <w:tcPr>
            <w:tcW w:w="3539" w:type="dxa"/>
            <w:vMerge/>
          </w:tcPr>
          <w:p w14:paraId="26C7B6AA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8DCD3" w:themeFill="accent6" w:themeFillTint="33"/>
          </w:tcPr>
          <w:p w14:paraId="56B74E4E" w14:textId="77777777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 xml:space="preserve">Решение Совета депутатов №100-рс (первоначальная редакция) </w:t>
            </w:r>
          </w:p>
        </w:tc>
        <w:tc>
          <w:tcPr>
            <w:tcW w:w="1909" w:type="dxa"/>
            <w:shd w:val="clear" w:color="auto" w:fill="F8DCD3" w:themeFill="accent6" w:themeFillTint="33"/>
          </w:tcPr>
          <w:p w14:paraId="5143E92A" w14:textId="44F75E0A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предусмотрено в Отчете об исполнении бюджета на 01.07.2022г.</w:t>
            </w:r>
          </w:p>
        </w:tc>
        <w:tc>
          <w:tcPr>
            <w:tcW w:w="1288" w:type="dxa"/>
            <w:shd w:val="clear" w:color="auto" w:fill="F8DCD3" w:themeFill="accent6" w:themeFillTint="33"/>
          </w:tcPr>
          <w:p w14:paraId="3554E080" w14:textId="77777777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Абсолютное (тыс. рублей)</w:t>
            </w:r>
          </w:p>
        </w:tc>
        <w:tc>
          <w:tcPr>
            <w:tcW w:w="1064" w:type="dxa"/>
            <w:shd w:val="clear" w:color="auto" w:fill="F8DCD3" w:themeFill="accent6" w:themeFillTint="33"/>
          </w:tcPr>
          <w:p w14:paraId="14356C17" w14:textId="77777777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Относительное (%)</w:t>
            </w:r>
          </w:p>
        </w:tc>
      </w:tr>
      <w:tr w:rsidR="003B0100" w:rsidRPr="003B0100" w14:paraId="41145BC6" w14:textId="77777777" w:rsidTr="000D4F94">
        <w:trPr>
          <w:trHeight w:val="203"/>
        </w:trPr>
        <w:tc>
          <w:tcPr>
            <w:tcW w:w="3539" w:type="dxa"/>
          </w:tcPr>
          <w:p w14:paraId="377562B7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764" w:type="dxa"/>
          </w:tcPr>
          <w:p w14:paraId="2D58E770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961660,3</w:t>
            </w:r>
          </w:p>
        </w:tc>
        <w:tc>
          <w:tcPr>
            <w:tcW w:w="1909" w:type="dxa"/>
          </w:tcPr>
          <w:p w14:paraId="46B38F2D" w14:textId="0F2ABEBF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1087177,8</w:t>
            </w:r>
          </w:p>
        </w:tc>
        <w:tc>
          <w:tcPr>
            <w:tcW w:w="1288" w:type="dxa"/>
          </w:tcPr>
          <w:p w14:paraId="718882DE" w14:textId="36D87A68" w:rsidR="00256DD1" w:rsidRPr="003B0100" w:rsidRDefault="00FC3453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125517,5</w:t>
            </w:r>
          </w:p>
        </w:tc>
        <w:tc>
          <w:tcPr>
            <w:tcW w:w="1064" w:type="dxa"/>
          </w:tcPr>
          <w:p w14:paraId="1D117078" w14:textId="4269C9BE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+</w:t>
            </w:r>
            <w:r w:rsidR="00FC3453" w:rsidRPr="003B0100">
              <w:rPr>
                <w:sz w:val="24"/>
                <w:szCs w:val="24"/>
              </w:rPr>
              <w:t>113,0</w:t>
            </w:r>
          </w:p>
        </w:tc>
      </w:tr>
      <w:tr w:rsidR="003B0100" w:rsidRPr="003B0100" w14:paraId="28D7EA5C" w14:textId="77777777" w:rsidTr="000D4F94">
        <w:trPr>
          <w:trHeight w:val="207"/>
        </w:trPr>
        <w:tc>
          <w:tcPr>
            <w:tcW w:w="3539" w:type="dxa"/>
          </w:tcPr>
          <w:p w14:paraId="45118CE7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764" w:type="dxa"/>
          </w:tcPr>
          <w:p w14:paraId="4D5748D1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961660,3</w:t>
            </w:r>
          </w:p>
        </w:tc>
        <w:tc>
          <w:tcPr>
            <w:tcW w:w="1909" w:type="dxa"/>
          </w:tcPr>
          <w:p w14:paraId="28915E08" w14:textId="1D4040DB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1195238,5</w:t>
            </w:r>
          </w:p>
        </w:tc>
        <w:tc>
          <w:tcPr>
            <w:tcW w:w="1288" w:type="dxa"/>
          </w:tcPr>
          <w:p w14:paraId="6BD12628" w14:textId="0EE28CBD" w:rsidR="00256DD1" w:rsidRPr="003B0100" w:rsidRDefault="00FC3453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233578,2</w:t>
            </w:r>
          </w:p>
        </w:tc>
        <w:tc>
          <w:tcPr>
            <w:tcW w:w="1064" w:type="dxa"/>
          </w:tcPr>
          <w:p w14:paraId="51B1B0C9" w14:textId="6B6CF060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+</w:t>
            </w:r>
            <w:r w:rsidR="00FC3453" w:rsidRPr="003B0100">
              <w:rPr>
                <w:sz w:val="24"/>
                <w:szCs w:val="24"/>
              </w:rPr>
              <w:t>124,3</w:t>
            </w:r>
          </w:p>
        </w:tc>
      </w:tr>
      <w:tr w:rsidR="003B0100" w:rsidRPr="003B0100" w14:paraId="6F9942E9" w14:textId="77777777" w:rsidTr="000D4F94">
        <w:trPr>
          <w:trHeight w:val="327"/>
        </w:trPr>
        <w:tc>
          <w:tcPr>
            <w:tcW w:w="3539" w:type="dxa"/>
          </w:tcPr>
          <w:p w14:paraId="7E468F01" w14:textId="77777777" w:rsidR="00256DD1" w:rsidRPr="003B0100" w:rsidRDefault="00256DD1" w:rsidP="00C231F8">
            <w:pPr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764" w:type="dxa"/>
          </w:tcPr>
          <w:p w14:paraId="73E9136B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0,0</w:t>
            </w:r>
          </w:p>
        </w:tc>
        <w:tc>
          <w:tcPr>
            <w:tcW w:w="1909" w:type="dxa"/>
          </w:tcPr>
          <w:p w14:paraId="4F9AEC07" w14:textId="3F47234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-108060,7</w:t>
            </w:r>
          </w:p>
        </w:tc>
        <w:tc>
          <w:tcPr>
            <w:tcW w:w="1288" w:type="dxa"/>
          </w:tcPr>
          <w:p w14:paraId="055DA1A3" w14:textId="45932BFF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</w:t>
            </w:r>
            <w:r w:rsidR="00FC3453" w:rsidRPr="003B0100">
              <w:rPr>
                <w:sz w:val="24"/>
                <w:szCs w:val="24"/>
              </w:rPr>
              <w:t>108060,7</w:t>
            </w:r>
          </w:p>
        </w:tc>
        <w:tc>
          <w:tcPr>
            <w:tcW w:w="1064" w:type="dxa"/>
          </w:tcPr>
          <w:p w14:paraId="740E9C90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</w:t>
            </w:r>
          </w:p>
        </w:tc>
      </w:tr>
    </w:tbl>
    <w:p w14:paraId="65A8D58F" w14:textId="0FC10FF2" w:rsidR="00256DD1" w:rsidRDefault="00256DD1" w:rsidP="00256DD1">
      <w:pPr>
        <w:spacing w:before="240" w:line="276" w:lineRule="auto"/>
        <w:ind w:firstLine="709"/>
        <w:jc w:val="center"/>
      </w:pPr>
      <w:r w:rsidRPr="007C7E7B">
        <w:rPr>
          <w:b/>
          <w:bCs/>
          <w:i/>
          <w:iCs/>
        </w:rPr>
        <w:t>Динамика изменений основных параметров районного бюджета за период январь-</w:t>
      </w:r>
      <w:r w:rsidR="00FC3453">
        <w:rPr>
          <w:b/>
          <w:bCs/>
          <w:i/>
          <w:iCs/>
        </w:rPr>
        <w:t>июнь</w:t>
      </w:r>
      <w:r w:rsidRPr="007C7E7B">
        <w:rPr>
          <w:b/>
          <w:bCs/>
          <w:i/>
          <w:iCs/>
        </w:rPr>
        <w:t xml:space="preserve"> 2022 года</w:t>
      </w:r>
      <w:r>
        <w:t>, тыс. рублей</w:t>
      </w:r>
    </w:p>
    <w:p w14:paraId="1915C4F7" w14:textId="77777777" w:rsidR="00256DD1" w:rsidRPr="00820C7A" w:rsidRDefault="00256DD1" w:rsidP="00256DD1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A34F70">
        <w:rPr>
          <w:noProof/>
          <w:shd w:val="clear" w:color="auto" w:fill="F0F5CF" w:themeFill="accent2" w:themeFillTint="33"/>
        </w:rPr>
        <w:drawing>
          <wp:inline distT="0" distB="0" distL="0" distR="0" wp14:anchorId="7C6B9439" wp14:editId="178A14DF">
            <wp:extent cx="5854700" cy="1893600"/>
            <wp:effectExtent l="0" t="0" r="1270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31EE6D" w14:textId="081C99E8" w:rsidR="00256DD1" w:rsidRPr="000D4F94" w:rsidRDefault="00256DD1" w:rsidP="00256DD1">
      <w:pPr>
        <w:spacing w:before="240" w:line="360" w:lineRule="auto"/>
        <w:ind w:firstLine="567"/>
        <w:jc w:val="both"/>
      </w:pPr>
      <w:r w:rsidRPr="000D4F94">
        <w:lastRenderedPageBreak/>
        <w:t xml:space="preserve">По итогам вносимых изменений общий объём доходов бюджета составил </w:t>
      </w:r>
      <w:r w:rsidR="00534F23" w:rsidRPr="000D4F94">
        <w:t>1087177,8</w:t>
      </w:r>
      <w:r w:rsidRPr="000D4F94">
        <w:t xml:space="preserve"> тыс. рублей, общий объем расходов – </w:t>
      </w:r>
      <w:r w:rsidR="00534F23" w:rsidRPr="000D4F94">
        <w:t>1195238,5</w:t>
      </w:r>
      <w:r w:rsidRPr="000D4F94">
        <w:t xml:space="preserve"> тыс. рублей. Дефицит районного бюджета на 2022 год, с учетом внесенных изменений, составит </w:t>
      </w:r>
      <w:r w:rsidR="009D7D14" w:rsidRPr="000D4F94">
        <w:t>108060,7</w:t>
      </w:r>
      <w:r w:rsidRPr="000D4F94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03A77649" w14:textId="062FE861" w:rsidR="000B1EB8" w:rsidRPr="000D4F94" w:rsidRDefault="000B1EB8" w:rsidP="009D7D14">
      <w:pPr>
        <w:spacing w:line="360" w:lineRule="auto"/>
        <w:ind w:firstLine="709"/>
        <w:jc w:val="both"/>
      </w:pPr>
      <w:r w:rsidRPr="000D4F94">
        <w:t xml:space="preserve">По данным управления финансов </w:t>
      </w:r>
      <w:r w:rsidR="00603266" w:rsidRPr="000D4F94">
        <w:t xml:space="preserve">администрации Добринского муниципального района, </w:t>
      </w:r>
      <w:r w:rsidR="009D7D14" w:rsidRPr="000D4F94">
        <w:t xml:space="preserve">исполнение </w:t>
      </w:r>
      <w:r w:rsidR="00603266" w:rsidRPr="000D4F94">
        <w:t>доход</w:t>
      </w:r>
      <w:r w:rsidR="009D7D14" w:rsidRPr="000D4F94">
        <w:t>ов</w:t>
      </w:r>
      <w:r w:rsidR="00603266" w:rsidRPr="000D4F94">
        <w:t xml:space="preserve"> районного бюджета составил</w:t>
      </w:r>
      <w:r w:rsidR="009D7D14" w:rsidRPr="000D4F94">
        <w:t>о</w:t>
      </w:r>
      <w:r w:rsidR="00603266" w:rsidRPr="000D4F94">
        <w:t xml:space="preserve"> </w:t>
      </w:r>
      <w:r w:rsidR="00BD5375" w:rsidRPr="000D4F94">
        <w:t>535510,1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BD5375" w:rsidRPr="000D4F94">
        <w:t>49,3</w:t>
      </w:r>
      <w:r w:rsidR="00603266" w:rsidRPr="000D4F94">
        <w:t xml:space="preserve">% к утвержденным годовым назначениям в сумме </w:t>
      </w:r>
      <w:r w:rsidR="00BD5375" w:rsidRPr="000D4F94">
        <w:t xml:space="preserve">1087177,8 </w:t>
      </w:r>
      <w:r w:rsidR="00603266" w:rsidRPr="000D4F94">
        <w:t>тыс. рублей, расход</w:t>
      </w:r>
      <w:r w:rsidR="009D7D14" w:rsidRPr="000D4F94">
        <w:t>ов</w:t>
      </w:r>
      <w:r w:rsidR="00603266" w:rsidRPr="000D4F94">
        <w:t xml:space="preserve"> – </w:t>
      </w:r>
      <w:r w:rsidR="00BD5375" w:rsidRPr="000D4F94">
        <w:t>476172,2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BD5375" w:rsidRPr="000D4F94">
        <w:t>39,8</w:t>
      </w:r>
      <w:r w:rsidR="00603266" w:rsidRPr="000D4F94">
        <w:t xml:space="preserve">% к утвержденным годовым назначениям в сумме </w:t>
      </w:r>
      <w:r w:rsidR="00BD5375" w:rsidRPr="000D4F94">
        <w:t>1195238,5</w:t>
      </w:r>
      <w:r w:rsidR="00603266" w:rsidRPr="000D4F94">
        <w:t xml:space="preserve"> тыс. рублей, профицит</w:t>
      </w:r>
      <w:r w:rsidR="009D7D14" w:rsidRPr="000D4F94">
        <w:t xml:space="preserve"> составил</w:t>
      </w:r>
      <w:r w:rsidR="00603266" w:rsidRPr="000D4F94">
        <w:t xml:space="preserve"> </w:t>
      </w:r>
      <w:r w:rsidR="00BD5375" w:rsidRPr="000D4F94">
        <w:t>59337,9</w:t>
      </w:r>
      <w:r w:rsidR="00603266" w:rsidRPr="000D4F94">
        <w:t xml:space="preserve"> тыс. рублей.</w:t>
      </w:r>
    </w:p>
    <w:p w14:paraId="4A719267" w14:textId="4EE375FD" w:rsidR="00086F83" w:rsidRPr="000D4F94" w:rsidRDefault="00603266" w:rsidP="008722C3">
      <w:pPr>
        <w:spacing w:after="240" w:line="360" w:lineRule="auto"/>
        <w:ind w:firstLine="709"/>
        <w:jc w:val="both"/>
      </w:pPr>
      <w:r w:rsidRPr="000D4F94">
        <w:t xml:space="preserve">По сравнению с первым </w:t>
      </w:r>
      <w:r w:rsidR="002575AA" w:rsidRPr="000D4F94">
        <w:t>полугодием</w:t>
      </w:r>
      <w:r w:rsidRPr="000D4F94">
        <w:t xml:space="preserve"> </w:t>
      </w:r>
      <w:r w:rsidR="001E1CF5" w:rsidRPr="000D4F94">
        <w:t>20</w:t>
      </w:r>
      <w:r w:rsidR="007B7D3F" w:rsidRPr="000D4F94">
        <w:t>2</w:t>
      </w:r>
      <w:r w:rsidR="00BD5375" w:rsidRPr="000D4F94">
        <w:t>1</w:t>
      </w:r>
      <w:r w:rsidRPr="000D4F94">
        <w:t xml:space="preserve"> года доходы районного бюджета </w:t>
      </w:r>
      <w:r w:rsidR="00664E73" w:rsidRPr="000D4F94">
        <w:t>увеличились</w:t>
      </w:r>
      <w:r w:rsidR="001E1CF5" w:rsidRPr="000D4F94">
        <w:t xml:space="preserve"> </w:t>
      </w:r>
      <w:r w:rsidRPr="000D4F94">
        <w:t xml:space="preserve">на </w:t>
      </w:r>
      <w:r w:rsidR="00BD5375" w:rsidRPr="000D4F94">
        <w:t>33259,0</w:t>
      </w:r>
      <w:r w:rsidR="001F115E" w:rsidRPr="000D4F94">
        <w:t xml:space="preserve"> тыс. рублей или </w:t>
      </w:r>
      <w:r w:rsidR="00BD5375" w:rsidRPr="000D4F94">
        <w:t>6,6</w:t>
      </w:r>
      <w:r w:rsidR="001F115E" w:rsidRPr="000D4F94">
        <w:t xml:space="preserve">%, расходы увеличились на </w:t>
      </w:r>
      <w:r w:rsidR="00BD5375" w:rsidRPr="000D4F94">
        <w:t>85927,9</w:t>
      </w:r>
      <w:r w:rsidR="001F115E" w:rsidRPr="000D4F94">
        <w:t xml:space="preserve"> тыс. рублей или </w:t>
      </w:r>
      <w:r w:rsidR="00BD5375" w:rsidRPr="000D4F94">
        <w:t>22,0</w:t>
      </w:r>
      <w:r w:rsidR="001F115E" w:rsidRPr="000D4F94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51BEB28B" w:rsidR="00391DC2" w:rsidRPr="000D4F94" w:rsidRDefault="00391DC2" w:rsidP="00451CCE">
      <w:pPr>
        <w:spacing w:before="240" w:line="360" w:lineRule="auto"/>
        <w:ind w:firstLine="709"/>
        <w:jc w:val="both"/>
      </w:pPr>
      <w:r w:rsidRPr="000D4F94">
        <w:t xml:space="preserve">По итогам первого </w:t>
      </w:r>
      <w:r w:rsidR="002575AA" w:rsidRPr="000D4F94">
        <w:t>полугодия</w:t>
      </w:r>
      <w:r w:rsidRPr="000D4F94">
        <w:t xml:space="preserve"> 20</w:t>
      </w:r>
      <w:r w:rsidR="001E1CF5" w:rsidRPr="000D4F94">
        <w:t>2</w:t>
      </w:r>
      <w:r w:rsidR="00256DD1" w:rsidRPr="000D4F94">
        <w:t>2</w:t>
      </w:r>
      <w:r w:rsidRPr="000D4F94">
        <w:t xml:space="preserve"> года в районный бюджет поступило доходов, с учетом безвозмездных перечислений из других бюджетов, в сумме </w:t>
      </w:r>
      <w:r w:rsidR="00256DD1" w:rsidRPr="000D4F94">
        <w:t>535510,1</w:t>
      </w:r>
      <w:r w:rsidRPr="000D4F94">
        <w:t xml:space="preserve"> тыс. рублей.</w:t>
      </w:r>
    </w:p>
    <w:p w14:paraId="65455DB1" w14:textId="1BFE2372" w:rsidR="00391DC2" w:rsidRPr="000D4F94" w:rsidRDefault="00391DC2" w:rsidP="00391DC2">
      <w:pPr>
        <w:spacing w:line="360" w:lineRule="auto"/>
        <w:ind w:firstLine="709"/>
        <w:jc w:val="both"/>
      </w:pPr>
      <w:r w:rsidRPr="000D4F94">
        <w:t>Структура доходов районного бюджета за перв</w:t>
      </w:r>
      <w:r w:rsidR="002575AA" w:rsidRPr="000D4F94">
        <w:t>ое</w:t>
      </w:r>
      <w:r w:rsidRPr="000D4F94">
        <w:t xml:space="preserve"> </w:t>
      </w:r>
      <w:r w:rsidR="002575AA" w:rsidRPr="000D4F94">
        <w:t>полугодие</w:t>
      </w:r>
      <w:r w:rsidRPr="000D4F94">
        <w:t xml:space="preserve"> 20</w:t>
      </w:r>
      <w:r w:rsidR="001E1CF5" w:rsidRPr="000D4F94">
        <w:t>2</w:t>
      </w:r>
      <w:r w:rsidR="007C2035" w:rsidRPr="000D4F94">
        <w:t>2</w:t>
      </w:r>
      <w:r w:rsidRPr="000D4F94">
        <w:t xml:space="preserve"> года в сравнении с аналогичным периодом 20</w:t>
      </w:r>
      <w:r w:rsidR="00664E73" w:rsidRPr="000D4F94">
        <w:t>2</w:t>
      </w:r>
      <w:r w:rsidR="007C2035" w:rsidRPr="000D4F94">
        <w:t>1</w:t>
      </w:r>
      <w:r w:rsidRPr="000D4F94">
        <w:t xml:space="preserve"> года представлена в таблице:</w:t>
      </w:r>
    </w:p>
    <w:p w14:paraId="489F1E65" w14:textId="77777777" w:rsidR="00391DC2" w:rsidRPr="003E786C" w:rsidRDefault="00391DC2" w:rsidP="000D4F94">
      <w:pPr>
        <w:ind w:firstLine="709"/>
        <w:jc w:val="center"/>
        <w:rPr>
          <w:b/>
          <w:i/>
        </w:rPr>
      </w:pPr>
      <w:r w:rsidRPr="003E786C">
        <w:rPr>
          <w:b/>
          <w:i/>
        </w:rPr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024"/>
        <w:gridCol w:w="1118"/>
        <w:gridCol w:w="1348"/>
        <w:gridCol w:w="636"/>
        <w:gridCol w:w="1236"/>
        <w:gridCol w:w="1348"/>
        <w:gridCol w:w="636"/>
        <w:gridCol w:w="1542"/>
      </w:tblGrid>
      <w:tr w:rsidR="00454B7D" w:rsidRPr="00824FCD" w14:paraId="2A5E780B" w14:textId="77777777" w:rsidTr="007C2035">
        <w:tc>
          <w:tcPr>
            <w:tcW w:w="2264" w:type="dxa"/>
            <w:vMerge w:val="restart"/>
            <w:shd w:val="clear" w:color="auto" w:fill="F2B9A8" w:themeFill="accent6" w:themeFillTint="66"/>
          </w:tcPr>
          <w:p w14:paraId="7DED5460" w14:textId="77777777" w:rsidR="00454B7D" w:rsidRPr="00824FC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shd w:val="clear" w:color="auto" w:fill="F2B9A8" w:themeFill="accent6" w:themeFillTint="66"/>
          </w:tcPr>
          <w:p w14:paraId="14CAD2C6" w14:textId="3997C7FD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20</w:t>
            </w:r>
            <w:r w:rsidR="00664E73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1</w:t>
            </w:r>
            <w:r w:rsidRPr="00824FC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  <w:gridSpan w:val="3"/>
            <w:shd w:val="clear" w:color="auto" w:fill="F2B9A8" w:themeFill="accent6" w:themeFillTint="66"/>
          </w:tcPr>
          <w:p w14:paraId="4404BEFC" w14:textId="444C714D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20</w:t>
            </w:r>
            <w:r w:rsidR="001E1CF5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2</w:t>
            </w:r>
            <w:r w:rsidRPr="00824FC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vMerge w:val="restart"/>
            <w:shd w:val="clear" w:color="auto" w:fill="F2B9A8" w:themeFill="accent6" w:themeFillTint="66"/>
          </w:tcPr>
          <w:p w14:paraId="051FA736" w14:textId="7822C5A2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Отклонение факта 20</w:t>
            </w:r>
            <w:r w:rsidR="001E1CF5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2</w:t>
            </w:r>
            <w:r w:rsidRPr="00824FCD">
              <w:rPr>
                <w:b/>
                <w:sz w:val="24"/>
                <w:szCs w:val="24"/>
              </w:rPr>
              <w:t>г. к 20</w:t>
            </w:r>
            <w:r w:rsidR="00664E73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1</w:t>
            </w:r>
            <w:r w:rsidRPr="00824FCD">
              <w:rPr>
                <w:b/>
                <w:sz w:val="24"/>
                <w:szCs w:val="24"/>
              </w:rPr>
              <w:t>г.</w:t>
            </w:r>
          </w:p>
        </w:tc>
      </w:tr>
      <w:tr w:rsidR="00454B7D" w:rsidRPr="00824FCD" w14:paraId="15B702D5" w14:textId="77777777" w:rsidTr="007C2035">
        <w:tc>
          <w:tcPr>
            <w:tcW w:w="2264" w:type="dxa"/>
            <w:vMerge/>
          </w:tcPr>
          <w:p w14:paraId="05300508" w14:textId="77777777" w:rsidR="00454B7D" w:rsidRPr="00824FC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41D06F57" w14:textId="794166C6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 xml:space="preserve">Факт 1 </w:t>
            </w:r>
            <w:r w:rsidR="002575AA" w:rsidRPr="00824FCD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640" w:type="dxa"/>
            <w:shd w:val="clear" w:color="auto" w:fill="F2B9A8" w:themeFill="accent6" w:themeFillTint="66"/>
          </w:tcPr>
          <w:p w14:paraId="744C3FE2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6" w:type="dxa"/>
            <w:shd w:val="clear" w:color="auto" w:fill="F2B9A8" w:themeFill="accent6" w:themeFillTint="66"/>
          </w:tcPr>
          <w:p w14:paraId="2C3BB4CB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0993949C" w14:textId="4709339B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 xml:space="preserve">Факт 1 </w:t>
            </w:r>
            <w:r w:rsidR="002575AA" w:rsidRPr="00824FCD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636" w:type="dxa"/>
            <w:shd w:val="clear" w:color="auto" w:fill="F2B9A8" w:themeFill="accent6" w:themeFillTint="66"/>
          </w:tcPr>
          <w:p w14:paraId="7DB8D55F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  <w:vMerge/>
            <w:shd w:val="clear" w:color="auto" w:fill="F2B9A8" w:themeFill="accent6" w:themeFillTint="66"/>
          </w:tcPr>
          <w:p w14:paraId="36DEA043" w14:textId="77777777" w:rsidR="00454B7D" w:rsidRPr="00824FC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7C2035" w:rsidRPr="00824FCD" w14:paraId="7BFC4E93" w14:textId="77777777" w:rsidTr="00824FCD">
        <w:trPr>
          <w:trHeight w:val="672"/>
        </w:trPr>
        <w:tc>
          <w:tcPr>
            <w:tcW w:w="2264" w:type="dxa"/>
          </w:tcPr>
          <w:p w14:paraId="28F46CB6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384CBFE0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236107,6</w:t>
            </w:r>
          </w:p>
        </w:tc>
        <w:tc>
          <w:tcPr>
            <w:tcW w:w="1254" w:type="dxa"/>
          </w:tcPr>
          <w:p w14:paraId="1C909CDA" w14:textId="3A8C6303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185627,6</w:t>
            </w:r>
          </w:p>
        </w:tc>
        <w:tc>
          <w:tcPr>
            <w:tcW w:w="640" w:type="dxa"/>
          </w:tcPr>
          <w:p w14:paraId="72DE159C" w14:textId="5F05FC84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78,6</w:t>
            </w:r>
          </w:p>
        </w:tc>
        <w:tc>
          <w:tcPr>
            <w:tcW w:w="1116" w:type="dxa"/>
          </w:tcPr>
          <w:p w14:paraId="4CEFE746" w14:textId="11D38CB5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243205,6</w:t>
            </w:r>
          </w:p>
        </w:tc>
        <w:tc>
          <w:tcPr>
            <w:tcW w:w="1254" w:type="dxa"/>
          </w:tcPr>
          <w:p w14:paraId="2A884DF6" w14:textId="339026E1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95786,1</w:t>
            </w:r>
          </w:p>
        </w:tc>
        <w:tc>
          <w:tcPr>
            <w:tcW w:w="636" w:type="dxa"/>
          </w:tcPr>
          <w:p w14:paraId="4A238E90" w14:textId="456ECEFA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39,4</w:t>
            </w:r>
          </w:p>
        </w:tc>
        <w:tc>
          <w:tcPr>
            <w:tcW w:w="1501" w:type="dxa"/>
          </w:tcPr>
          <w:p w14:paraId="51210CFE" w14:textId="144CF3CF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-89841,5</w:t>
            </w:r>
          </w:p>
        </w:tc>
      </w:tr>
      <w:tr w:rsidR="007C2035" w:rsidRPr="00824FCD" w14:paraId="466F2034" w14:textId="77777777" w:rsidTr="00824FCD">
        <w:trPr>
          <w:trHeight w:val="696"/>
        </w:trPr>
        <w:tc>
          <w:tcPr>
            <w:tcW w:w="2264" w:type="dxa"/>
          </w:tcPr>
          <w:p w14:paraId="195F6999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5AC13E5D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100600,0</w:t>
            </w:r>
          </w:p>
        </w:tc>
        <w:tc>
          <w:tcPr>
            <w:tcW w:w="1254" w:type="dxa"/>
          </w:tcPr>
          <w:p w14:paraId="737A88F2" w14:textId="1C40FE48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78124,0</w:t>
            </w:r>
          </w:p>
        </w:tc>
        <w:tc>
          <w:tcPr>
            <w:tcW w:w="640" w:type="dxa"/>
          </w:tcPr>
          <w:p w14:paraId="3EE4B21C" w14:textId="1EFF0A8A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77,7</w:t>
            </w:r>
          </w:p>
        </w:tc>
        <w:tc>
          <w:tcPr>
            <w:tcW w:w="1116" w:type="dxa"/>
          </w:tcPr>
          <w:p w14:paraId="6691C24C" w14:textId="6E736F37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138635,5</w:t>
            </w:r>
          </w:p>
        </w:tc>
        <w:tc>
          <w:tcPr>
            <w:tcW w:w="1254" w:type="dxa"/>
          </w:tcPr>
          <w:p w14:paraId="00D7CD8E" w14:textId="11EFAA99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92357,5</w:t>
            </w:r>
          </w:p>
        </w:tc>
        <w:tc>
          <w:tcPr>
            <w:tcW w:w="636" w:type="dxa"/>
          </w:tcPr>
          <w:p w14:paraId="71F5824C" w14:textId="20886CAA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66,6</w:t>
            </w:r>
          </w:p>
        </w:tc>
        <w:tc>
          <w:tcPr>
            <w:tcW w:w="1501" w:type="dxa"/>
          </w:tcPr>
          <w:p w14:paraId="729482E9" w14:textId="7775D40E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+14233,5</w:t>
            </w:r>
          </w:p>
        </w:tc>
      </w:tr>
      <w:tr w:rsidR="007C2035" w:rsidRPr="00824FCD" w14:paraId="02788AF6" w14:textId="77777777" w:rsidTr="00824FCD">
        <w:trPr>
          <w:trHeight w:val="692"/>
        </w:trPr>
        <w:tc>
          <w:tcPr>
            <w:tcW w:w="2264" w:type="dxa"/>
          </w:tcPr>
          <w:p w14:paraId="30333299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02D237C2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575381,6</w:t>
            </w:r>
          </w:p>
        </w:tc>
        <w:tc>
          <w:tcPr>
            <w:tcW w:w="1254" w:type="dxa"/>
          </w:tcPr>
          <w:p w14:paraId="37C87929" w14:textId="2171C93A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238499,5</w:t>
            </w:r>
          </w:p>
        </w:tc>
        <w:tc>
          <w:tcPr>
            <w:tcW w:w="640" w:type="dxa"/>
          </w:tcPr>
          <w:p w14:paraId="20DCDA2F" w14:textId="5DC7DFFF" w:rsidR="007C2035" w:rsidRPr="00824FCD" w:rsidRDefault="007C2035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41,5</w:t>
            </w:r>
          </w:p>
        </w:tc>
        <w:tc>
          <w:tcPr>
            <w:tcW w:w="1116" w:type="dxa"/>
          </w:tcPr>
          <w:p w14:paraId="53AB1111" w14:textId="37F3E475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705336,7</w:t>
            </w:r>
          </w:p>
        </w:tc>
        <w:tc>
          <w:tcPr>
            <w:tcW w:w="1254" w:type="dxa"/>
          </w:tcPr>
          <w:p w14:paraId="64BAAAC4" w14:textId="54DDA82B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347366,5</w:t>
            </w:r>
          </w:p>
        </w:tc>
        <w:tc>
          <w:tcPr>
            <w:tcW w:w="636" w:type="dxa"/>
          </w:tcPr>
          <w:p w14:paraId="68360920" w14:textId="55AB67BE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49,2</w:t>
            </w:r>
          </w:p>
        </w:tc>
        <w:tc>
          <w:tcPr>
            <w:tcW w:w="1501" w:type="dxa"/>
          </w:tcPr>
          <w:p w14:paraId="7C090E5A" w14:textId="3F3AED25" w:rsidR="007C2035" w:rsidRPr="00824FCD" w:rsidRDefault="008B183D" w:rsidP="007C2035">
            <w:pPr>
              <w:jc w:val="right"/>
              <w:rPr>
                <w:sz w:val="24"/>
                <w:szCs w:val="24"/>
              </w:rPr>
            </w:pPr>
            <w:r w:rsidRPr="00824FCD">
              <w:rPr>
                <w:sz w:val="24"/>
                <w:szCs w:val="24"/>
              </w:rPr>
              <w:t>+108867,0</w:t>
            </w:r>
          </w:p>
        </w:tc>
      </w:tr>
      <w:tr w:rsidR="007C2035" w:rsidRPr="00824FCD" w14:paraId="7E7138D3" w14:textId="77777777" w:rsidTr="00824FCD">
        <w:trPr>
          <w:trHeight w:val="418"/>
        </w:trPr>
        <w:tc>
          <w:tcPr>
            <w:tcW w:w="2264" w:type="dxa"/>
            <w:shd w:val="clear" w:color="auto" w:fill="F2B9A8" w:themeFill="accent6" w:themeFillTint="66"/>
          </w:tcPr>
          <w:p w14:paraId="6577A102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2879A8FF" w:rsidR="007C2035" w:rsidRPr="00824FCD" w:rsidRDefault="007C2035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912089,2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018B157F" w14:textId="7E9394C7" w:rsidR="007C2035" w:rsidRPr="00824FCD" w:rsidRDefault="007C2035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502251,1</w:t>
            </w:r>
          </w:p>
        </w:tc>
        <w:tc>
          <w:tcPr>
            <w:tcW w:w="640" w:type="dxa"/>
            <w:shd w:val="clear" w:color="auto" w:fill="F2B9A8" w:themeFill="accent6" w:themeFillTint="66"/>
          </w:tcPr>
          <w:p w14:paraId="4FC461DB" w14:textId="1653BF71" w:rsidR="007C2035" w:rsidRPr="00824FCD" w:rsidRDefault="007C2035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1116" w:type="dxa"/>
            <w:shd w:val="clear" w:color="auto" w:fill="F2B9A8" w:themeFill="accent6" w:themeFillTint="66"/>
          </w:tcPr>
          <w:p w14:paraId="3BEAFBA8" w14:textId="332D1A3D" w:rsidR="007C2035" w:rsidRPr="00824FCD" w:rsidRDefault="008B183D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1087177,8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40C52CF4" w14:textId="20530DD4" w:rsidR="007C2035" w:rsidRPr="00824FCD" w:rsidRDefault="008B183D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535510,1</w:t>
            </w:r>
          </w:p>
        </w:tc>
        <w:tc>
          <w:tcPr>
            <w:tcW w:w="636" w:type="dxa"/>
            <w:shd w:val="clear" w:color="auto" w:fill="F2B9A8" w:themeFill="accent6" w:themeFillTint="66"/>
          </w:tcPr>
          <w:p w14:paraId="675A6D12" w14:textId="03B075DE" w:rsidR="007C2035" w:rsidRPr="00824FCD" w:rsidRDefault="008B183D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49,3</w:t>
            </w:r>
          </w:p>
        </w:tc>
        <w:tc>
          <w:tcPr>
            <w:tcW w:w="1501" w:type="dxa"/>
            <w:shd w:val="clear" w:color="auto" w:fill="F2B9A8" w:themeFill="accent6" w:themeFillTint="66"/>
          </w:tcPr>
          <w:p w14:paraId="131742FA" w14:textId="07D1C8EC" w:rsidR="007C2035" w:rsidRPr="00824FCD" w:rsidRDefault="008B183D" w:rsidP="007C2035">
            <w:pPr>
              <w:jc w:val="right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+33259,0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7C2424CF" w:rsidR="00E915C3" w:rsidRPr="000D4F94" w:rsidRDefault="00016A39" w:rsidP="00391DC2">
      <w:pPr>
        <w:spacing w:line="360" w:lineRule="auto"/>
        <w:ind w:firstLine="709"/>
        <w:jc w:val="both"/>
      </w:pPr>
      <w:r w:rsidRPr="000D4F94">
        <w:t>Доходы районного бюджета за перв</w:t>
      </w:r>
      <w:r w:rsidR="009E5456" w:rsidRPr="000D4F94">
        <w:t>ое</w:t>
      </w:r>
      <w:r w:rsidRPr="000D4F94">
        <w:t xml:space="preserve"> </w:t>
      </w:r>
      <w:r w:rsidR="009E5456" w:rsidRPr="000D4F94">
        <w:t>полугодие</w:t>
      </w:r>
      <w:r w:rsidRPr="000D4F94">
        <w:t xml:space="preserve"> 20</w:t>
      </w:r>
      <w:r w:rsidR="00652D3F" w:rsidRPr="000D4F94">
        <w:t>2</w:t>
      </w:r>
      <w:r w:rsidR="004C63ED" w:rsidRPr="000D4F94">
        <w:t>2</w:t>
      </w:r>
      <w:r w:rsidRPr="000D4F94">
        <w:t xml:space="preserve"> года на </w:t>
      </w:r>
      <w:r w:rsidR="004C63ED" w:rsidRPr="000D4F94">
        <w:t>64,9</w:t>
      </w:r>
      <w:r w:rsidRPr="000D4F94">
        <w:t>% сформированы за счет безвозмездных поступлений, объем которых, по сравнению с соответствующим периодом 20</w:t>
      </w:r>
      <w:r w:rsidR="00664E73" w:rsidRPr="000D4F94">
        <w:t>2</w:t>
      </w:r>
      <w:r w:rsidR="004C63ED" w:rsidRPr="000D4F94">
        <w:t>1</w:t>
      </w:r>
      <w:r w:rsidRPr="000D4F94">
        <w:t xml:space="preserve"> года </w:t>
      </w:r>
      <w:r w:rsidR="004C63ED" w:rsidRPr="000D4F94">
        <w:t>увеличился</w:t>
      </w:r>
      <w:r w:rsidRPr="000D4F94">
        <w:t xml:space="preserve"> в абсолютной величине на </w:t>
      </w:r>
      <w:r w:rsidR="004C63ED" w:rsidRPr="000D4F94">
        <w:t>108867,0</w:t>
      </w:r>
      <w:r w:rsidRPr="000D4F94">
        <w:t xml:space="preserve"> тыс. рублей. Доля налоговых доходов составляет </w:t>
      </w:r>
      <w:r w:rsidR="004C63ED" w:rsidRPr="000D4F94">
        <w:t>17,9</w:t>
      </w:r>
      <w:r w:rsidRPr="000D4F94">
        <w:t xml:space="preserve">%, неналоговых доходов – </w:t>
      </w:r>
      <w:r w:rsidR="004C63ED" w:rsidRPr="000D4F94">
        <w:t>17,2</w:t>
      </w:r>
      <w:r w:rsidRPr="000D4F94">
        <w:t>%.</w:t>
      </w:r>
      <w:r w:rsidR="00097500" w:rsidRPr="000D4F94">
        <w:t xml:space="preserve"> </w:t>
      </w:r>
    </w:p>
    <w:p w14:paraId="351028A5" w14:textId="49107BDC" w:rsidR="00EA119C" w:rsidRPr="000D4F94" w:rsidRDefault="00097500" w:rsidP="00EA119C">
      <w:pPr>
        <w:spacing w:line="360" w:lineRule="auto"/>
        <w:ind w:firstLine="709"/>
        <w:jc w:val="both"/>
      </w:pPr>
      <w:r w:rsidRPr="000D4F94">
        <w:t xml:space="preserve">Изменение доходных источников </w:t>
      </w:r>
      <w:r w:rsidR="00652D3F" w:rsidRPr="000D4F94">
        <w:t xml:space="preserve">за </w:t>
      </w:r>
      <w:r w:rsidR="00824FCD" w:rsidRPr="000D4F94">
        <w:t>пяти</w:t>
      </w:r>
      <w:r w:rsidR="00652D3F" w:rsidRPr="000D4F94">
        <w:t xml:space="preserve">летний период </w:t>
      </w:r>
      <w:r w:rsidRPr="000D4F94"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38C9D614">
            <wp:extent cx="5925185" cy="3451538"/>
            <wp:effectExtent l="0" t="0" r="1841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EFDFE" w14:textId="77777777" w:rsidR="00A17E32" w:rsidRPr="000D4F94" w:rsidRDefault="00A17E32" w:rsidP="00391DC2">
      <w:pPr>
        <w:spacing w:line="360" w:lineRule="auto"/>
        <w:ind w:firstLine="709"/>
        <w:jc w:val="both"/>
      </w:pPr>
      <w:r w:rsidRPr="000D4F94"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CB571F1" w14:textId="4B9B3A83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08FE">
              <w:rPr>
                <w:b/>
                <w:sz w:val="24"/>
                <w:szCs w:val="24"/>
              </w:rPr>
              <w:t xml:space="preserve"> полугодие </w:t>
            </w:r>
            <w:r>
              <w:rPr>
                <w:b/>
                <w:sz w:val="24"/>
                <w:szCs w:val="24"/>
              </w:rPr>
              <w:t>20</w:t>
            </w:r>
            <w:r w:rsidR="00327A44">
              <w:rPr>
                <w:b/>
                <w:sz w:val="24"/>
                <w:szCs w:val="24"/>
              </w:rPr>
              <w:t>2</w:t>
            </w:r>
            <w:r w:rsidR="0076624D">
              <w:rPr>
                <w:b/>
                <w:sz w:val="24"/>
                <w:szCs w:val="24"/>
              </w:rPr>
              <w:t>1</w:t>
            </w:r>
            <w:r w:rsidR="00327A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05294346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A608FE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</w:t>
            </w:r>
            <w:r w:rsidR="007662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76624D" w:rsidRPr="00A17E32" w14:paraId="6A4EF6BF" w14:textId="77777777" w:rsidTr="000D4690">
        <w:trPr>
          <w:trHeight w:val="441"/>
        </w:trPr>
        <w:tc>
          <w:tcPr>
            <w:tcW w:w="3964" w:type="dxa"/>
          </w:tcPr>
          <w:p w14:paraId="0ADD2334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5C2E8030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152733,5</w:t>
            </w:r>
          </w:p>
        </w:tc>
        <w:tc>
          <w:tcPr>
            <w:tcW w:w="1559" w:type="dxa"/>
          </w:tcPr>
          <w:p w14:paraId="6181E24C" w14:textId="2E7C27ED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58097,1</w:t>
            </w:r>
          </w:p>
        </w:tc>
        <w:tc>
          <w:tcPr>
            <w:tcW w:w="1542" w:type="dxa"/>
          </w:tcPr>
          <w:p w14:paraId="4ED35D38" w14:textId="749747D8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-94636,4</w:t>
            </w:r>
          </w:p>
        </w:tc>
        <w:tc>
          <w:tcPr>
            <w:tcW w:w="816" w:type="dxa"/>
          </w:tcPr>
          <w:p w14:paraId="1DABFE7E" w14:textId="7D447467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6624D" w:rsidRPr="00A17E32" w14:paraId="68F333F1" w14:textId="77777777" w:rsidTr="000D4690">
        <w:trPr>
          <w:trHeight w:val="418"/>
        </w:trPr>
        <w:tc>
          <w:tcPr>
            <w:tcW w:w="3964" w:type="dxa"/>
          </w:tcPr>
          <w:p w14:paraId="725CE875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2140263E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19026,7</w:t>
            </w:r>
          </w:p>
        </w:tc>
        <w:tc>
          <w:tcPr>
            <w:tcW w:w="1559" w:type="dxa"/>
          </w:tcPr>
          <w:p w14:paraId="75287E43" w14:textId="08433E7B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27150,8</w:t>
            </w:r>
          </w:p>
        </w:tc>
        <w:tc>
          <w:tcPr>
            <w:tcW w:w="1542" w:type="dxa"/>
          </w:tcPr>
          <w:p w14:paraId="2D80CE72" w14:textId="34613E56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+8124,1</w:t>
            </w:r>
          </w:p>
        </w:tc>
        <w:tc>
          <w:tcPr>
            <w:tcW w:w="816" w:type="dxa"/>
          </w:tcPr>
          <w:p w14:paraId="417CB9DD" w14:textId="21D3AA3D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</w:tr>
      <w:tr w:rsidR="0076624D" w:rsidRPr="00A17E32" w14:paraId="323CBE6D" w14:textId="77777777" w:rsidTr="000D4690">
        <w:trPr>
          <w:trHeight w:val="425"/>
        </w:trPr>
        <w:tc>
          <w:tcPr>
            <w:tcW w:w="3964" w:type="dxa"/>
          </w:tcPr>
          <w:p w14:paraId="551C8A87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0826E24B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11950,2</w:t>
            </w:r>
          </w:p>
        </w:tc>
        <w:tc>
          <w:tcPr>
            <w:tcW w:w="1559" w:type="dxa"/>
          </w:tcPr>
          <w:p w14:paraId="3BAE9FAD" w14:textId="1DE6182D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7930,7</w:t>
            </w:r>
          </w:p>
        </w:tc>
        <w:tc>
          <w:tcPr>
            <w:tcW w:w="1542" w:type="dxa"/>
          </w:tcPr>
          <w:p w14:paraId="35309467" w14:textId="6DA4AD5C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-4019,5</w:t>
            </w:r>
          </w:p>
        </w:tc>
        <w:tc>
          <w:tcPr>
            <w:tcW w:w="816" w:type="dxa"/>
          </w:tcPr>
          <w:p w14:paraId="23BA041E" w14:textId="03390B84" w:rsidR="0076624D" w:rsidRPr="00A17E32" w:rsidRDefault="00715CF3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76624D" w:rsidRPr="00A17E32" w14:paraId="1FD23934" w14:textId="77777777" w:rsidTr="000D4690">
        <w:trPr>
          <w:trHeight w:val="403"/>
        </w:trPr>
        <w:tc>
          <w:tcPr>
            <w:tcW w:w="3964" w:type="dxa"/>
          </w:tcPr>
          <w:p w14:paraId="5F623908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3CEFC972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1917,2</w:t>
            </w:r>
          </w:p>
        </w:tc>
        <w:tc>
          <w:tcPr>
            <w:tcW w:w="1559" w:type="dxa"/>
          </w:tcPr>
          <w:p w14:paraId="77280C8F" w14:textId="166DFD41" w:rsidR="0076624D" w:rsidRPr="00A17E32" w:rsidRDefault="00715CF3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2607,5</w:t>
            </w:r>
          </w:p>
        </w:tc>
        <w:tc>
          <w:tcPr>
            <w:tcW w:w="1542" w:type="dxa"/>
          </w:tcPr>
          <w:p w14:paraId="5676D085" w14:textId="1C62F0D2" w:rsidR="0076624D" w:rsidRPr="00A17E32" w:rsidRDefault="00715CF3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+690,3</w:t>
            </w:r>
          </w:p>
        </w:tc>
        <w:tc>
          <w:tcPr>
            <w:tcW w:w="816" w:type="dxa"/>
          </w:tcPr>
          <w:p w14:paraId="272A60D9" w14:textId="10B273F6" w:rsidR="0076624D" w:rsidRPr="00A17E32" w:rsidRDefault="00715CF3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76624D" w:rsidRPr="00A17E32" w14:paraId="20BDDB83" w14:textId="77777777" w:rsidTr="00A608FE">
        <w:tc>
          <w:tcPr>
            <w:tcW w:w="3964" w:type="dxa"/>
          </w:tcPr>
          <w:p w14:paraId="5EE94798" w14:textId="77777777" w:rsidR="0076624D" w:rsidRPr="00A608FE" w:rsidRDefault="0076624D" w:rsidP="0076624D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3A8AD0C6" w:rsidR="0076624D" w:rsidRPr="00A608FE" w:rsidRDefault="0076624D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1917,2</w:t>
            </w:r>
          </w:p>
        </w:tc>
        <w:tc>
          <w:tcPr>
            <w:tcW w:w="1559" w:type="dxa"/>
          </w:tcPr>
          <w:p w14:paraId="7D3FF627" w14:textId="0A4F3CB0" w:rsidR="0076624D" w:rsidRPr="00A608FE" w:rsidRDefault="00715CF3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2607,5</w:t>
            </w:r>
          </w:p>
        </w:tc>
        <w:tc>
          <w:tcPr>
            <w:tcW w:w="1542" w:type="dxa"/>
          </w:tcPr>
          <w:p w14:paraId="19D34330" w14:textId="1DF955C2" w:rsidR="0076624D" w:rsidRPr="00A608FE" w:rsidRDefault="00715CF3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+690,3</w:t>
            </w:r>
          </w:p>
        </w:tc>
        <w:tc>
          <w:tcPr>
            <w:tcW w:w="816" w:type="dxa"/>
          </w:tcPr>
          <w:p w14:paraId="58C53638" w14:textId="3778D332" w:rsidR="0076624D" w:rsidRPr="00A608FE" w:rsidRDefault="00715CF3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</w:tr>
      <w:tr w:rsidR="0076624D" w:rsidRPr="001647E8" w14:paraId="25F3F772" w14:textId="77777777" w:rsidTr="000D4690">
        <w:trPr>
          <w:trHeight w:val="299"/>
        </w:trPr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76624D" w:rsidRPr="001647E8" w:rsidRDefault="0076624D" w:rsidP="0076624D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80C67C4" w14:textId="68EB5AA3" w:rsidR="0076624D" w:rsidRPr="001647E8" w:rsidRDefault="0076624D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185627,6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5511D984" w:rsidR="0076624D" w:rsidRPr="001647E8" w:rsidRDefault="00715CF3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95786,1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3BDA3B46" w:rsidR="0076624D" w:rsidRPr="001647E8" w:rsidRDefault="00715CF3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-89841,5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52828B0F" w:rsidR="0076624D" w:rsidRPr="001647E8" w:rsidRDefault="00715CF3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</w:t>
            </w:r>
          </w:p>
        </w:tc>
      </w:tr>
    </w:tbl>
    <w:p w14:paraId="71AFC10B" w14:textId="7420420F" w:rsidR="00715CF3" w:rsidRPr="000D4F94" w:rsidRDefault="009B5A6F" w:rsidP="00715CF3">
      <w:pPr>
        <w:spacing w:before="240" w:line="360" w:lineRule="auto"/>
        <w:ind w:firstLine="567"/>
        <w:jc w:val="both"/>
      </w:pPr>
      <w:r w:rsidRPr="000D4F94">
        <w:t xml:space="preserve">Приведенные в таблице данные показывают, что в первом </w:t>
      </w:r>
      <w:r w:rsidR="00A608FE" w:rsidRPr="000D4F94">
        <w:t>полугодии</w:t>
      </w:r>
      <w:r w:rsidR="0070493B" w:rsidRPr="000D4F94">
        <w:t xml:space="preserve"> 20</w:t>
      </w:r>
      <w:r w:rsidR="00766E38" w:rsidRPr="000D4F94">
        <w:t>2</w:t>
      </w:r>
      <w:r w:rsidR="00715CF3" w:rsidRPr="000D4F94">
        <w:t>2</w:t>
      </w:r>
      <w:r w:rsidR="0070493B" w:rsidRPr="000D4F94">
        <w:t xml:space="preserve"> года по сравнению с аналогичным периодом 20</w:t>
      </w:r>
      <w:r w:rsidR="007D24B0" w:rsidRPr="000D4F94">
        <w:t>2</w:t>
      </w:r>
      <w:r w:rsidR="00715CF3" w:rsidRPr="000D4F94">
        <w:t>1</w:t>
      </w:r>
      <w:r w:rsidR="0070493B" w:rsidRPr="000D4F94">
        <w:t xml:space="preserve"> года </w:t>
      </w:r>
      <w:r w:rsidR="00715CF3" w:rsidRPr="000D4F94">
        <w:t xml:space="preserve">произошло </w:t>
      </w:r>
      <w:r w:rsidR="00715CF3" w:rsidRPr="000D4F94">
        <w:lastRenderedPageBreak/>
        <w:t xml:space="preserve">снижение </w:t>
      </w:r>
      <w:r w:rsidR="0070493B" w:rsidRPr="000D4F94">
        <w:t>поступлени</w:t>
      </w:r>
      <w:r w:rsidR="00715CF3" w:rsidRPr="000D4F94">
        <w:t>й</w:t>
      </w:r>
      <w:r w:rsidR="0070493B" w:rsidRPr="000D4F94">
        <w:t xml:space="preserve"> налоговых доходов </w:t>
      </w:r>
      <w:r w:rsidR="002241B0" w:rsidRPr="000D4F94">
        <w:t>н</w:t>
      </w:r>
      <w:r w:rsidR="0070493B" w:rsidRPr="000D4F94">
        <w:t xml:space="preserve">а </w:t>
      </w:r>
      <w:r w:rsidR="00715CF3" w:rsidRPr="000D4F94">
        <w:t>48,4</w:t>
      </w:r>
      <w:r w:rsidR="005E2F56" w:rsidRPr="000D4F94">
        <w:t xml:space="preserve">% за счет </w:t>
      </w:r>
      <w:r w:rsidR="00715CF3" w:rsidRPr="000D4F94">
        <w:t>уменьш</w:t>
      </w:r>
      <w:r w:rsidR="007D24B0" w:rsidRPr="000D4F94">
        <w:t>ения</w:t>
      </w:r>
      <w:r w:rsidR="00334648" w:rsidRPr="000D4F94">
        <w:t xml:space="preserve"> </w:t>
      </w:r>
      <w:r w:rsidR="005E2F56" w:rsidRPr="000D4F94">
        <w:t>поступлений</w:t>
      </w:r>
      <w:r w:rsidR="007142EE" w:rsidRPr="000D4F94">
        <w:t xml:space="preserve"> НДФЛ</w:t>
      </w:r>
      <w:r w:rsidR="00A608FE" w:rsidRPr="000D4F94">
        <w:t xml:space="preserve"> </w:t>
      </w:r>
      <w:r w:rsidR="007142EE" w:rsidRPr="000D4F94">
        <w:t xml:space="preserve">и </w:t>
      </w:r>
      <w:r w:rsidR="00766E38" w:rsidRPr="000D4F94">
        <w:t>налогов на совокупный доход</w:t>
      </w:r>
      <w:r w:rsidR="00334648" w:rsidRPr="000D4F94">
        <w:t xml:space="preserve"> (единый сельскохозяйственный налог</w:t>
      </w:r>
      <w:r w:rsidR="00A608FE" w:rsidRPr="000D4F94">
        <w:t xml:space="preserve"> и налог, взимаемый с применением патентной системы налогообложения</w:t>
      </w:r>
      <w:r w:rsidR="00334648" w:rsidRPr="000D4F94">
        <w:t>)</w:t>
      </w:r>
      <w:r w:rsidR="00275C7A" w:rsidRPr="000D4F94">
        <w:t>.</w:t>
      </w:r>
      <w:r w:rsidR="00715CF3" w:rsidRPr="000D4F94">
        <w:t xml:space="preserve"> </w:t>
      </w:r>
      <w:r w:rsidR="000D4690" w:rsidRPr="000D4F94">
        <w:t>Основная причина с</w:t>
      </w:r>
      <w:r w:rsidR="00715CF3" w:rsidRPr="000D4F94">
        <w:t>нижени</w:t>
      </w:r>
      <w:r w:rsidR="000D4690" w:rsidRPr="000D4F94">
        <w:t>я</w:t>
      </w:r>
      <w:r w:rsidR="00715CF3" w:rsidRPr="000D4F94">
        <w:t xml:space="preserve"> поступлений по НДФЛ в районный бюджет </w:t>
      </w:r>
      <w:r w:rsidR="000D4690" w:rsidRPr="000D4F94">
        <w:t>– это отсутствие поступления НДФЛ с выплаченных дивидендов от ООО «Восход», кроме того, выросла сумма возвратов по НДФЛ (налоговые вычеты)</w:t>
      </w:r>
      <w:r w:rsidR="00715CF3" w:rsidRPr="000D4F94">
        <w:t xml:space="preserve">. </w:t>
      </w:r>
    </w:p>
    <w:p w14:paraId="194CD1CE" w14:textId="2E8FAA5B" w:rsidR="00C53E88" w:rsidRPr="000D4F94" w:rsidRDefault="00C53E88" w:rsidP="00C53E88">
      <w:pPr>
        <w:spacing w:line="360" w:lineRule="auto"/>
        <w:ind w:firstLine="709"/>
        <w:jc w:val="both"/>
      </w:pPr>
      <w:r w:rsidRPr="000D4F94">
        <w:t xml:space="preserve">В структуре налоговых доходов наибольший удельный вес занимает налог на доходы физических лиц – </w:t>
      </w:r>
      <w:r w:rsidR="00B07E60" w:rsidRPr="000D4F94">
        <w:t>60,6</w:t>
      </w:r>
      <w:r w:rsidRPr="000D4F94">
        <w:t>%.</w:t>
      </w:r>
    </w:p>
    <w:p w14:paraId="5351BF98" w14:textId="77777777" w:rsidR="00B07E60" w:rsidRPr="000D4F94" w:rsidRDefault="00B07E60" w:rsidP="00B07E60">
      <w:pPr>
        <w:spacing w:line="360" w:lineRule="auto"/>
        <w:ind w:firstLine="567"/>
        <w:jc w:val="both"/>
      </w:pPr>
      <w:r w:rsidRPr="000D4F94">
        <w:t>Налоги на совокупный доход представлены двумя основными источниками:</w:t>
      </w:r>
    </w:p>
    <w:p w14:paraId="02300A5B" w14:textId="27590DBA" w:rsidR="00B07E60" w:rsidRPr="000D4F94" w:rsidRDefault="00B07E60" w:rsidP="00B07E60">
      <w:pPr>
        <w:spacing w:line="360" w:lineRule="auto"/>
        <w:ind w:firstLine="567"/>
        <w:jc w:val="both"/>
      </w:pPr>
      <w:r w:rsidRPr="000D4F94">
        <w:t>- единый сельскохозяйственный налог – поступил в районный бюджет в сумме 6496,1 тыс. рублей или 59,9% от плановых назначений,</w:t>
      </w:r>
    </w:p>
    <w:p w14:paraId="0809FA43" w14:textId="489C1698" w:rsidR="00B07E60" w:rsidRPr="000D4F94" w:rsidRDefault="00B07E60" w:rsidP="00B07E60">
      <w:pPr>
        <w:spacing w:line="360" w:lineRule="auto"/>
        <w:ind w:firstLine="567"/>
        <w:jc w:val="both"/>
      </w:pPr>
      <w:r w:rsidRPr="000D4F94">
        <w:t>- налог, взимаемый в связи с применением патентной системы налогообложения – поступил в сумме 1425,5 тыс. рублей или 36,1% от плановых назначений.</w:t>
      </w:r>
    </w:p>
    <w:p w14:paraId="769D160E" w14:textId="68A96004" w:rsidR="00B13F6F" w:rsidRPr="00B13F6F" w:rsidRDefault="00F91002" w:rsidP="001A49F9">
      <w:pPr>
        <w:spacing w:line="360" w:lineRule="auto"/>
        <w:ind w:firstLine="709"/>
        <w:jc w:val="both"/>
        <w:rPr>
          <w:sz w:val="22"/>
          <w:szCs w:val="22"/>
        </w:rPr>
      </w:pPr>
      <w:r w:rsidRPr="000D4F94">
        <w:t xml:space="preserve">Фактическое поступление неналоговых доходов за отчетный период текущего года в сравнении с первым </w:t>
      </w:r>
      <w:r w:rsidR="00A608FE" w:rsidRPr="000D4F94">
        <w:t>полугодием</w:t>
      </w:r>
      <w:r w:rsidRPr="000D4F94">
        <w:t xml:space="preserve"> 20</w:t>
      </w:r>
      <w:r w:rsidR="007D24B0" w:rsidRPr="000D4F94">
        <w:t>2</w:t>
      </w:r>
      <w:r w:rsidR="00B07E60" w:rsidRPr="000D4F94">
        <w:t>1</w:t>
      </w:r>
      <w:r w:rsidRPr="000D4F94">
        <w:t xml:space="preserve"> года представлено в </w:t>
      </w:r>
      <w:proofErr w:type="gramStart"/>
      <w:r w:rsidRPr="000D4F94">
        <w:t>таблице:</w:t>
      </w:r>
      <w:r w:rsidR="00587B6D" w:rsidRPr="00B07E60">
        <w:rPr>
          <w:sz w:val="30"/>
          <w:szCs w:val="30"/>
        </w:rPr>
        <w:t xml:space="preserve"> </w:t>
      </w:r>
      <w:r w:rsidR="00587B6D">
        <w:t xml:space="preserve">  </w:t>
      </w:r>
      <w:proofErr w:type="gramEnd"/>
      <w:r w:rsidR="00587B6D">
        <w:t xml:space="preserve">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1DE43A1" w14:textId="3F88FB28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F4704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</w:t>
            </w:r>
            <w:r w:rsidR="007D24B0">
              <w:rPr>
                <w:b/>
                <w:sz w:val="24"/>
                <w:szCs w:val="24"/>
              </w:rPr>
              <w:t>2</w:t>
            </w:r>
            <w:r w:rsidR="00B07E6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05E84443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F470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</w:t>
            </w:r>
            <w:r w:rsidR="00B07E6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07E60" w:rsidRPr="00F91002" w14:paraId="7DDF680C" w14:textId="77777777" w:rsidTr="00DF4704">
        <w:tc>
          <w:tcPr>
            <w:tcW w:w="4390" w:type="dxa"/>
          </w:tcPr>
          <w:p w14:paraId="2D5DB161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165D8436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71384,7</w:t>
            </w:r>
          </w:p>
        </w:tc>
        <w:tc>
          <w:tcPr>
            <w:tcW w:w="1418" w:type="dxa"/>
          </w:tcPr>
          <w:p w14:paraId="5D6D86E3" w14:textId="43E1BFB4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84396,2</w:t>
            </w:r>
          </w:p>
        </w:tc>
        <w:tc>
          <w:tcPr>
            <w:tcW w:w="1258" w:type="dxa"/>
          </w:tcPr>
          <w:p w14:paraId="4DDC899B" w14:textId="0B5EDAF8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+13011,5</w:t>
            </w:r>
          </w:p>
        </w:tc>
        <w:tc>
          <w:tcPr>
            <w:tcW w:w="876" w:type="dxa"/>
          </w:tcPr>
          <w:p w14:paraId="2097E2AA" w14:textId="4CE2CAA0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B07E60" w:rsidRPr="00B07E60" w14:paraId="39C13ADA" w14:textId="77777777" w:rsidTr="00DF4704">
        <w:tc>
          <w:tcPr>
            <w:tcW w:w="4390" w:type="dxa"/>
          </w:tcPr>
          <w:p w14:paraId="7EA7A1D2" w14:textId="77777777" w:rsidR="00B07E60" w:rsidRPr="00B07E60" w:rsidRDefault="00B07E60" w:rsidP="00B07E60">
            <w:pPr>
              <w:rPr>
                <w:i/>
                <w:iCs/>
                <w:sz w:val="24"/>
                <w:szCs w:val="24"/>
              </w:rPr>
            </w:pPr>
            <w:r w:rsidRPr="00B07E60">
              <w:rPr>
                <w:i/>
                <w:iCs/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1EA0A1E2" w:rsidR="00B07E60" w:rsidRPr="00B07E60" w:rsidRDefault="00B07E60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 w:rsidRPr="00B07E60">
              <w:rPr>
                <w:i/>
                <w:iCs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14:paraId="6635B8A8" w14:textId="430D635C" w:rsidR="00B07E60" w:rsidRPr="00B07E60" w:rsidRDefault="00B07E60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258" w:type="dxa"/>
          </w:tcPr>
          <w:p w14:paraId="35F9F640" w14:textId="713615BC" w:rsidR="00B07E60" w:rsidRPr="00B07E60" w:rsidRDefault="00337E92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-0,9</w:t>
            </w:r>
          </w:p>
        </w:tc>
        <w:tc>
          <w:tcPr>
            <w:tcW w:w="876" w:type="dxa"/>
          </w:tcPr>
          <w:p w14:paraId="5168BA55" w14:textId="61963797" w:rsidR="00B07E60" w:rsidRPr="00B07E60" w:rsidRDefault="00337E92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30,8</w:t>
            </w:r>
          </w:p>
        </w:tc>
      </w:tr>
      <w:tr w:rsidR="00B07E60" w:rsidRPr="00F91002" w14:paraId="63B463C7" w14:textId="77777777" w:rsidTr="00DF4704">
        <w:tc>
          <w:tcPr>
            <w:tcW w:w="4390" w:type="dxa"/>
          </w:tcPr>
          <w:p w14:paraId="44FB8D38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2904991E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1418" w:type="dxa"/>
          </w:tcPr>
          <w:p w14:paraId="2C8E9844" w14:textId="406CCB2C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1358,2</w:t>
            </w:r>
          </w:p>
        </w:tc>
        <w:tc>
          <w:tcPr>
            <w:tcW w:w="1258" w:type="dxa"/>
          </w:tcPr>
          <w:p w14:paraId="75742C36" w14:textId="18711435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+447,8</w:t>
            </w:r>
          </w:p>
        </w:tc>
        <w:tc>
          <w:tcPr>
            <w:tcW w:w="876" w:type="dxa"/>
          </w:tcPr>
          <w:p w14:paraId="04D11236" w14:textId="791B6FF2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</w:tr>
      <w:tr w:rsidR="00B07E60" w:rsidRPr="00F91002" w14:paraId="7EF0D5BB" w14:textId="77777777" w:rsidTr="00DF4704">
        <w:tc>
          <w:tcPr>
            <w:tcW w:w="4390" w:type="dxa"/>
          </w:tcPr>
          <w:p w14:paraId="1A64B20C" w14:textId="77777777" w:rsidR="00B07E60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4100C0E6" w:rsidR="00B07E60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2303,8</w:t>
            </w:r>
          </w:p>
        </w:tc>
        <w:tc>
          <w:tcPr>
            <w:tcW w:w="1418" w:type="dxa"/>
          </w:tcPr>
          <w:p w14:paraId="74630CCF" w14:textId="3AF093AF" w:rsidR="00B07E60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3060,7</w:t>
            </w:r>
          </w:p>
        </w:tc>
        <w:tc>
          <w:tcPr>
            <w:tcW w:w="1258" w:type="dxa"/>
          </w:tcPr>
          <w:p w14:paraId="16EF539E" w14:textId="5A31B3CA" w:rsidR="00B07E60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+756,9</w:t>
            </w:r>
          </w:p>
        </w:tc>
        <w:tc>
          <w:tcPr>
            <w:tcW w:w="876" w:type="dxa"/>
          </w:tcPr>
          <w:p w14:paraId="766795F5" w14:textId="5273AF0E" w:rsidR="00B07E60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</w:t>
            </w:r>
          </w:p>
        </w:tc>
      </w:tr>
      <w:tr w:rsidR="00B07E60" w:rsidRPr="00F91002" w14:paraId="7BDF8799" w14:textId="77777777" w:rsidTr="00DF4704">
        <w:tc>
          <w:tcPr>
            <w:tcW w:w="4390" w:type="dxa"/>
          </w:tcPr>
          <w:p w14:paraId="78445F57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55F46088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2899,4</w:t>
            </w:r>
          </w:p>
        </w:tc>
        <w:tc>
          <w:tcPr>
            <w:tcW w:w="1418" w:type="dxa"/>
          </w:tcPr>
          <w:p w14:paraId="193339AC" w14:textId="305B9A6C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</w:t>
            </w:r>
            <w:r w:rsidR="00337E92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14:paraId="5D384C08" w14:textId="53DF7AD2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-54,5</w:t>
            </w:r>
          </w:p>
        </w:tc>
        <w:tc>
          <w:tcPr>
            <w:tcW w:w="876" w:type="dxa"/>
          </w:tcPr>
          <w:p w14:paraId="53C9B2DC" w14:textId="6022E94E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B07E60" w:rsidRPr="00F91002" w14:paraId="005226B2" w14:textId="77777777" w:rsidTr="00DF4704">
        <w:tc>
          <w:tcPr>
            <w:tcW w:w="4390" w:type="dxa"/>
          </w:tcPr>
          <w:p w14:paraId="4961E514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4B9E0AB4" w14:textId="6BF4F9B4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625,7</w:t>
            </w:r>
          </w:p>
        </w:tc>
        <w:tc>
          <w:tcPr>
            <w:tcW w:w="1418" w:type="dxa"/>
          </w:tcPr>
          <w:p w14:paraId="090D7E73" w14:textId="07B68346" w:rsidR="00B07E60" w:rsidRPr="00F91002" w:rsidRDefault="00B07E60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  <w:tc>
          <w:tcPr>
            <w:tcW w:w="1258" w:type="dxa"/>
          </w:tcPr>
          <w:p w14:paraId="65B8BA32" w14:textId="040D05DE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+71,8</w:t>
            </w:r>
          </w:p>
        </w:tc>
        <w:tc>
          <w:tcPr>
            <w:tcW w:w="876" w:type="dxa"/>
          </w:tcPr>
          <w:p w14:paraId="7ACC07BF" w14:textId="2D1023A7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B07E60" w:rsidRPr="00B41A5C" w14:paraId="7CD02DAB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B07E60" w:rsidRPr="00B41A5C" w:rsidRDefault="00B07E60" w:rsidP="00B07E60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20922DD" w14:textId="04B3CF02" w:rsidR="00B07E60" w:rsidRPr="00B41A5C" w:rsidRDefault="00B07E60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78124,0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05C2EEC2" w:rsidR="00B07E60" w:rsidRPr="00B41A5C" w:rsidRDefault="00337E92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92357,5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38961EDC" w:rsidR="00B07E60" w:rsidRPr="00B41A5C" w:rsidRDefault="00811A31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+14233,5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78EABCB1" w:rsidR="00B07E60" w:rsidRPr="00B41A5C" w:rsidRDefault="00811A31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118,8</w:t>
            </w:r>
          </w:p>
        </w:tc>
      </w:tr>
    </w:tbl>
    <w:p w14:paraId="5974F906" w14:textId="78272215" w:rsidR="004D497A" w:rsidRPr="000D4F94" w:rsidRDefault="004D497A" w:rsidP="00E83A40">
      <w:pPr>
        <w:spacing w:before="240" w:line="360" w:lineRule="auto"/>
        <w:ind w:firstLine="709"/>
        <w:jc w:val="both"/>
      </w:pPr>
      <w:r w:rsidRPr="000D4F94">
        <w:t xml:space="preserve">По сравнению с первым </w:t>
      </w:r>
      <w:r w:rsidR="00C20175" w:rsidRPr="000D4F94">
        <w:t>полугодием</w:t>
      </w:r>
      <w:r w:rsidRPr="000D4F94">
        <w:t xml:space="preserve"> 20</w:t>
      </w:r>
      <w:r w:rsidR="00A436E8" w:rsidRPr="000D4F94">
        <w:t>2</w:t>
      </w:r>
      <w:r w:rsidR="00811A31" w:rsidRPr="000D4F94">
        <w:t>1</w:t>
      </w:r>
      <w:r w:rsidRPr="000D4F94">
        <w:t xml:space="preserve"> года неналоговые доходы </w:t>
      </w:r>
      <w:r w:rsidR="007142EE" w:rsidRPr="000D4F94">
        <w:t>увеличились</w:t>
      </w:r>
      <w:r w:rsidRPr="000D4F94">
        <w:t xml:space="preserve"> на </w:t>
      </w:r>
      <w:r w:rsidR="00811A31" w:rsidRPr="000D4F94">
        <w:t>14233,5</w:t>
      </w:r>
      <w:r w:rsidRPr="000D4F94">
        <w:t xml:space="preserve"> тыс. рублей или </w:t>
      </w:r>
      <w:r w:rsidR="00811A31" w:rsidRPr="000D4F94">
        <w:t>18,8</w:t>
      </w:r>
      <w:r w:rsidRPr="000D4F94">
        <w:t>%.</w:t>
      </w:r>
    </w:p>
    <w:p w14:paraId="7782376A" w14:textId="596A5FC4" w:rsidR="007142EE" w:rsidRPr="000D4F94" w:rsidRDefault="007142EE" w:rsidP="004D497A">
      <w:pPr>
        <w:spacing w:line="360" w:lineRule="auto"/>
        <w:ind w:firstLine="709"/>
        <w:jc w:val="both"/>
      </w:pPr>
      <w:r w:rsidRPr="000D4F94">
        <w:lastRenderedPageBreak/>
        <w:t>Рост</w:t>
      </w:r>
      <w:r w:rsidR="001D3B9C" w:rsidRPr="000D4F94">
        <w:t xml:space="preserve"> </w:t>
      </w:r>
      <w:r w:rsidR="004D497A" w:rsidRPr="000D4F94">
        <w:t xml:space="preserve">наблюдается по </w:t>
      </w:r>
      <w:r w:rsidR="00811A31" w:rsidRPr="000D4F94">
        <w:t>всем</w:t>
      </w:r>
      <w:r w:rsidR="004D497A" w:rsidRPr="000D4F94">
        <w:t xml:space="preserve"> видам доходов</w:t>
      </w:r>
      <w:r w:rsidR="00811A31" w:rsidRPr="000D4F94">
        <w:t xml:space="preserve"> за исключением доходов от продажи материальных и нематериальных активов.</w:t>
      </w:r>
    </w:p>
    <w:p w14:paraId="4F07CD16" w14:textId="77777777" w:rsidR="00D4140D" w:rsidRPr="000D4F94" w:rsidRDefault="004D497A" w:rsidP="004D497A">
      <w:pPr>
        <w:spacing w:line="360" w:lineRule="auto"/>
        <w:ind w:firstLine="709"/>
        <w:jc w:val="both"/>
      </w:pPr>
      <w:r w:rsidRPr="000D4F94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7D1FAF" w:rsidRPr="000D4F94">
        <w:t>91,4</w:t>
      </w:r>
      <w:r w:rsidRPr="000D4F94">
        <w:t>%</w:t>
      </w:r>
      <w:r w:rsidR="00D4140D" w:rsidRPr="000D4F94">
        <w:t>, которые представлены двумя основными источниками:</w:t>
      </w:r>
    </w:p>
    <w:p w14:paraId="1D59B87E" w14:textId="77777777" w:rsidR="00D4140D" w:rsidRPr="000D4F94" w:rsidRDefault="00D4140D" w:rsidP="00D4140D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– поступили в сумме 83292,1 тыс. рублей с исполнением плана на 62,2%,</w:t>
      </w:r>
    </w:p>
    <w:p w14:paraId="60BE5A5E" w14:textId="5BA2BDA2" w:rsidR="004D497A" w:rsidRPr="000D4F94" w:rsidRDefault="00D4140D" w:rsidP="00D4140D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>доходы от сдач</w:t>
      </w:r>
      <w:r w:rsidR="004D184C" w:rsidRPr="000D4F94">
        <w:t>и</w:t>
      </w:r>
      <w:r w:rsidRPr="000D4F94">
        <w:t xml:space="preserve"> в аренду имущества, составляющего казну муниц</w:t>
      </w:r>
      <w:r w:rsidR="004D184C" w:rsidRPr="000D4F94">
        <w:t>ипальных районов (за исключением земельных участков) – поступили в сумме 1103,8 тыс. рублей с исполнением плана на 55,2%</w:t>
      </w:r>
      <w:r w:rsidR="004D497A" w:rsidRPr="000D4F94">
        <w:t>.</w:t>
      </w:r>
    </w:p>
    <w:p w14:paraId="019DB40D" w14:textId="2E73E7A7" w:rsidR="004D497A" w:rsidRPr="000D4F94" w:rsidRDefault="00D42F58" w:rsidP="004D497A">
      <w:pPr>
        <w:spacing w:line="360" w:lineRule="auto"/>
        <w:ind w:firstLine="709"/>
        <w:jc w:val="both"/>
      </w:pPr>
      <w:r w:rsidRPr="000D4F94">
        <w:t>Фактические безвозмездные поступления</w:t>
      </w:r>
      <w:r w:rsidR="00BF37F0" w:rsidRPr="000D4F94">
        <w:t xml:space="preserve"> за отчетный период текущего года в сравнении с первым </w:t>
      </w:r>
      <w:r w:rsidR="00C20175" w:rsidRPr="000D4F94">
        <w:t>полугодием</w:t>
      </w:r>
      <w:r w:rsidR="00BF37F0" w:rsidRPr="000D4F94">
        <w:t xml:space="preserve"> 20</w:t>
      </w:r>
      <w:r w:rsidR="007D1FAF" w:rsidRPr="000D4F94">
        <w:t>2</w:t>
      </w:r>
      <w:r w:rsidR="000D4F94">
        <w:t>1</w:t>
      </w:r>
      <w:r w:rsidR="00BF37F0" w:rsidRPr="000D4F94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BF37F0" w:rsidRPr="00BF37F0" w14:paraId="7EB1ACB6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F2D99E8" w14:textId="70C7DA8B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2017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D1FAF">
              <w:rPr>
                <w:b/>
                <w:sz w:val="24"/>
                <w:szCs w:val="24"/>
              </w:rPr>
              <w:t>2</w:t>
            </w:r>
            <w:r w:rsidR="004D689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3765554" w14:textId="512015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2017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4D68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4D6891" w14:paraId="6F058681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013BB80F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6B10C753" w14:textId="537D4922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238997,6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7DBBBDFA" w14:textId="1356B104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347073,6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51BF2E7E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D15EE">
              <w:rPr>
                <w:sz w:val="24"/>
                <w:szCs w:val="24"/>
              </w:rPr>
              <w:t>108076,0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5258DBE1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7D15EE">
              <w:rPr>
                <w:sz w:val="24"/>
                <w:szCs w:val="24"/>
              </w:rPr>
              <w:t>2</w:t>
            </w:r>
          </w:p>
        </w:tc>
      </w:tr>
      <w:tr w:rsidR="004D6891" w14:paraId="3ECF8DE8" w14:textId="77777777" w:rsidTr="004F1091">
        <w:tc>
          <w:tcPr>
            <w:tcW w:w="3957" w:type="dxa"/>
          </w:tcPr>
          <w:p w14:paraId="4205FC06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7AA24113" w14:textId="747DBBDA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1468,3</w:t>
            </w:r>
          </w:p>
        </w:tc>
        <w:tc>
          <w:tcPr>
            <w:tcW w:w="1559" w:type="dxa"/>
          </w:tcPr>
          <w:p w14:paraId="3DA7805F" w14:textId="2E3F0EEF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31215,7</w:t>
            </w:r>
          </w:p>
        </w:tc>
        <w:tc>
          <w:tcPr>
            <w:tcW w:w="1542" w:type="dxa"/>
          </w:tcPr>
          <w:p w14:paraId="5DF489C3" w14:textId="22266DBA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+29747,4</w:t>
            </w:r>
          </w:p>
        </w:tc>
        <w:tc>
          <w:tcPr>
            <w:tcW w:w="876" w:type="dxa"/>
          </w:tcPr>
          <w:p w14:paraId="0955E219" w14:textId="1321C514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2126,0</w:t>
            </w:r>
          </w:p>
        </w:tc>
      </w:tr>
      <w:tr w:rsidR="004D6891" w14:paraId="120F54DD" w14:textId="77777777" w:rsidTr="004F1091">
        <w:tc>
          <w:tcPr>
            <w:tcW w:w="3957" w:type="dxa"/>
          </w:tcPr>
          <w:p w14:paraId="3B83D94B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4C33EE2F" w14:textId="11DEC12A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12355,2</w:t>
            </w:r>
          </w:p>
        </w:tc>
        <w:tc>
          <w:tcPr>
            <w:tcW w:w="1559" w:type="dxa"/>
          </w:tcPr>
          <w:p w14:paraId="7F45560A" w14:textId="60410BE2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61308,3</w:t>
            </w:r>
          </w:p>
        </w:tc>
        <w:tc>
          <w:tcPr>
            <w:tcW w:w="1542" w:type="dxa"/>
          </w:tcPr>
          <w:p w14:paraId="2202BD17" w14:textId="01720A5B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+48953,1</w:t>
            </w:r>
          </w:p>
        </w:tc>
        <w:tc>
          <w:tcPr>
            <w:tcW w:w="876" w:type="dxa"/>
          </w:tcPr>
          <w:p w14:paraId="5E1CCDC8" w14:textId="3FE33300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496,2</w:t>
            </w:r>
          </w:p>
        </w:tc>
      </w:tr>
      <w:tr w:rsidR="004D6891" w14:paraId="57A7551F" w14:textId="77777777" w:rsidTr="004F1091">
        <w:tc>
          <w:tcPr>
            <w:tcW w:w="3957" w:type="dxa"/>
          </w:tcPr>
          <w:p w14:paraId="713768A4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5B64AEB" w14:textId="41088BBB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193068,9</w:t>
            </w:r>
          </w:p>
        </w:tc>
        <w:tc>
          <w:tcPr>
            <w:tcW w:w="1559" w:type="dxa"/>
          </w:tcPr>
          <w:p w14:paraId="6D651693" w14:textId="78C0EF69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223054,6</w:t>
            </w:r>
          </w:p>
        </w:tc>
        <w:tc>
          <w:tcPr>
            <w:tcW w:w="1542" w:type="dxa"/>
          </w:tcPr>
          <w:p w14:paraId="5A1FF352" w14:textId="25B23551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+29985,7</w:t>
            </w:r>
          </w:p>
        </w:tc>
        <w:tc>
          <w:tcPr>
            <w:tcW w:w="876" w:type="dxa"/>
          </w:tcPr>
          <w:p w14:paraId="16C67C9D" w14:textId="0E01C544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4D6891" w14:paraId="6B50C49F" w14:textId="77777777" w:rsidTr="004F1091">
        <w:tc>
          <w:tcPr>
            <w:tcW w:w="3957" w:type="dxa"/>
          </w:tcPr>
          <w:p w14:paraId="4979680B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51994968" w14:textId="1FA22A63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32105,2</w:t>
            </w:r>
          </w:p>
        </w:tc>
        <w:tc>
          <w:tcPr>
            <w:tcW w:w="1559" w:type="dxa"/>
          </w:tcPr>
          <w:p w14:paraId="00A20BB4" w14:textId="344A0A79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31495,0</w:t>
            </w:r>
          </w:p>
        </w:tc>
        <w:tc>
          <w:tcPr>
            <w:tcW w:w="1542" w:type="dxa"/>
          </w:tcPr>
          <w:p w14:paraId="63A7A199" w14:textId="5BBCE8E1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-610,2</w:t>
            </w:r>
          </w:p>
        </w:tc>
        <w:tc>
          <w:tcPr>
            <w:tcW w:w="876" w:type="dxa"/>
          </w:tcPr>
          <w:p w14:paraId="30EF670A" w14:textId="3EB42D72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D6891" w14:paraId="3B5F085F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1493E760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091FF8AA" w14:textId="7008BCE0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2A933A5F" w14:textId="41AA841C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316,3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6CF6BC50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-18,3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695F57B2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4D6891" w14:paraId="5C37F20A" w14:textId="77777777" w:rsidTr="004F1091">
        <w:tc>
          <w:tcPr>
            <w:tcW w:w="3957" w:type="dxa"/>
          </w:tcPr>
          <w:p w14:paraId="47D0FC2D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567" w:type="dxa"/>
          </w:tcPr>
          <w:p w14:paraId="3767381E" w14:textId="10136159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DE0B4B6" w14:textId="78D9E0FE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1C029815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14:paraId="0051C67A" w14:textId="2A910E09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6891" w14:paraId="7AC469B8" w14:textId="77777777" w:rsidTr="004F1091">
        <w:tc>
          <w:tcPr>
            <w:tcW w:w="3957" w:type="dxa"/>
          </w:tcPr>
          <w:p w14:paraId="694D460D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485620C" w14:textId="1C9D7274" w:rsidR="004D6891" w:rsidRDefault="004D6891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-832,7</w:t>
            </w:r>
          </w:p>
        </w:tc>
        <w:tc>
          <w:tcPr>
            <w:tcW w:w="1559" w:type="dxa"/>
          </w:tcPr>
          <w:p w14:paraId="1C0F53D5" w14:textId="5706B078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42" w:type="dxa"/>
          </w:tcPr>
          <w:p w14:paraId="130FD452" w14:textId="3134C7B5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809,3</w:t>
            </w:r>
          </w:p>
        </w:tc>
        <w:tc>
          <w:tcPr>
            <w:tcW w:w="876" w:type="dxa"/>
          </w:tcPr>
          <w:p w14:paraId="6150FB45" w14:textId="7CED587D" w:rsidR="004D6891" w:rsidRDefault="005D7602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6891" w:rsidRPr="00BF37F0" w14:paraId="6CB41181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5C18A803" w14:textId="77777777" w:rsidR="004D6891" w:rsidRPr="00BF37F0" w:rsidRDefault="004D6891" w:rsidP="004D6891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38F251C8" w14:textId="3082705B" w:rsidR="004D6891" w:rsidRPr="00BF37F0" w:rsidRDefault="004D6891" w:rsidP="004D6891">
            <w:pPr>
              <w:jc w:val="right"/>
              <w:rPr>
                <w:b/>
                <w:sz w:val="24"/>
                <w:szCs w:val="24"/>
              </w:rPr>
            </w:pPr>
            <w:r w:rsidRPr="00987A91">
              <w:rPr>
                <w:b/>
                <w:bCs/>
                <w:sz w:val="24"/>
                <w:szCs w:val="24"/>
              </w:rPr>
              <w:t>238499,5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3384591" w14:textId="039E4C34" w:rsidR="004D6891" w:rsidRPr="00987A91" w:rsidRDefault="00E2244D" w:rsidP="004D6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347366,5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293E0180" w:rsidR="004D6891" w:rsidRPr="00987A91" w:rsidRDefault="005D7602" w:rsidP="004D6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+108867,0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40032C22" w:rsidR="004D6891" w:rsidRPr="00987A91" w:rsidRDefault="005D7602" w:rsidP="004D6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145,6</w:t>
            </w:r>
          </w:p>
        </w:tc>
      </w:tr>
    </w:tbl>
    <w:p w14:paraId="53106345" w14:textId="68EBA130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 w:rsidR="00194C1C">
        <w:t>полугодием</w:t>
      </w:r>
      <w:r w:rsidRPr="0055496D">
        <w:t xml:space="preserve"> 20</w:t>
      </w:r>
      <w:r w:rsidR="00987A91">
        <w:t>2</w:t>
      </w:r>
      <w:r w:rsidR="005D7602">
        <w:t>1</w:t>
      </w:r>
      <w:r w:rsidRPr="0055496D">
        <w:t xml:space="preserve"> года объем безвозмездных поступлений </w:t>
      </w:r>
      <w:r w:rsidR="005D7602">
        <w:t>увеличился</w:t>
      </w:r>
      <w:r w:rsidRPr="0055496D">
        <w:t xml:space="preserve"> на </w:t>
      </w:r>
      <w:r w:rsidR="005D7602">
        <w:t>108867,0</w:t>
      </w:r>
      <w:r w:rsidRPr="0055496D">
        <w:t xml:space="preserve"> тыс. рублей</w:t>
      </w:r>
      <w:r w:rsidR="005D7602">
        <w:t xml:space="preserve"> или на 45,6%</w:t>
      </w:r>
      <w:r w:rsidRPr="0055496D">
        <w:t xml:space="preserve"> и составил </w:t>
      </w:r>
      <w:r w:rsidR="005D7602">
        <w:t>347366,5</w:t>
      </w:r>
      <w:r w:rsidRPr="0055496D">
        <w:t xml:space="preserve"> тыс. рублей.</w:t>
      </w:r>
    </w:p>
    <w:p w14:paraId="36BD2D00" w14:textId="6C3DD1AA" w:rsidR="006B0585" w:rsidRDefault="006B0585" w:rsidP="00BF37F0">
      <w:pPr>
        <w:spacing w:line="360" w:lineRule="auto"/>
        <w:ind w:firstLine="709"/>
        <w:jc w:val="both"/>
      </w:pPr>
      <w:r w:rsidRPr="0055496D">
        <w:lastRenderedPageBreak/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5D7602">
        <w:t>223054,6</w:t>
      </w:r>
      <w:r w:rsidR="0055496D">
        <w:t xml:space="preserve"> тыс. рублей или </w:t>
      </w:r>
      <w:r w:rsidR="005D7602">
        <w:t>64,2</w:t>
      </w:r>
      <w:r w:rsidRPr="0055496D">
        <w:t>%</w:t>
      </w:r>
      <w:r w:rsidR="00B41EC8">
        <w:t>, из них субвенции местным бюджетам на выполнение передаваемых полномочий субъектов Российской Федерации поступили в сумме 210377,0 тыс. рублей</w:t>
      </w:r>
      <w:r w:rsidR="00354212" w:rsidRPr="0055496D">
        <w:t>.</w:t>
      </w:r>
    </w:p>
    <w:p w14:paraId="1AA14CF6" w14:textId="07328B34" w:rsidR="00B41EC8" w:rsidRDefault="00B41EC8" w:rsidP="00BF37F0">
      <w:pPr>
        <w:spacing w:line="360" w:lineRule="auto"/>
        <w:ind w:firstLine="709"/>
        <w:jc w:val="both"/>
      </w:pPr>
      <w:r>
        <w:t xml:space="preserve">На долю субсидий приходится </w:t>
      </w:r>
      <w:r w:rsidR="002937CF">
        <w:t>17,6% безвозмездных поступлений</w:t>
      </w:r>
      <w:r w:rsidR="003F1BB3">
        <w:t>, на долю дотаций и иных межбюджетных трансфертов по 9,0% от общего объема безвозмездных поступлений.</w:t>
      </w:r>
    </w:p>
    <w:p w14:paraId="12743829" w14:textId="77777777" w:rsidR="00C54B3D" w:rsidRPr="003F1BB3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F1BB3">
        <w:rPr>
          <w:b/>
          <w:sz w:val="32"/>
          <w:szCs w:val="32"/>
        </w:rPr>
        <w:t>Расходы районного бюджета.</w:t>
      </w:r>
    </w:p>
    <w:p w14:paraId="2DACB30B" w14:textId="6826C326" w:rsidR="003F1BB3" w:rsidRDefault="003F1BB3" w:rsidP="003F1BB3">
      <w:pPr>
        <w:spacing w:line="360" w:lineRule="auto"/>
        <w:ind w:firstLine="567"/>
        <w:jc w:val="both"/>
      </w:pPr>
      <w:r>
        <w:t>За первое полугодие 2022 года расходы районного бюджета исполнены в сумме 476172,2 тыс. рублей или на 39,8% к утвержденным годовым назначениям 1195238,5 тыс. рублей. Расходы районного бюджета на 2022 год в сравнении с аналогичным периодом 2021 года в разрезе разделов классификации расходов бюджета приведены в таблице:</w:t>
      </w: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703"/>
        <w:gridCol w:w="3121"/>
        <w:gridCol w:w="1562"/>
        <w:gridCol w:w="1558"/>
        <w:gridCol w:w="1455"/>
        <w:gridCol w:w="961"/>
      </w:tblGrid>
      <w:tr w:rsidR="003F1BB3" w14:paraId="52EACB0F" w14:textId="77777777" w:rsidTr="003F1BB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555D7DEB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14:paraId="7EB480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дел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6DBE2F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3440C5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Исполнение районного бюджета по расходам</w:t>
            </w:r>
          </w:p>
          <w:p w14:paraId="33F12051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718A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Изменение (увеличение, уменьшение)</w:t>
            </w:r>
          </w:p>
        </w:tc>
      </w:tr>
      <w:tr w:rsidR="003F1BB3" w14:paraId="1689CE68" w14:textId="77777777" w:rsidTr="003F1BB3">
        <w:trPr>
          <w:trHeight w:val="9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40E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AC41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9EDF1D0" w14:textId="145A1510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01.07.2021г.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86274E2" w14:textId="55E42AC7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01.07.2022г.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2ABE0B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Абсолютное (тыс. 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36C991D3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</w:t>
            </w:r>
          </w:p>
          <w:p w14:paraId="6DEC1FB8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тельное, темп роста (%)</w:t>
            </w:r>
          </w:p>
        </w:tc>
      </w:tr>
      <w:tr w:rsidR="003F1BB3" w14:paraId="41224A63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94C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752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F0C" w14:textId="74CD411E" w:rsidR="003F1BB3" w:rsidRDefault="003F1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35467,3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30F" w14:textId="225F21E2" w:rsidR="003F1BB3" w:rsidRDefault="00CA2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46679,</w:t>
            </w:r>
            <w:r w:rsidR="00A26F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D07" w14:textId="472C9E03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291" w14:textId="0E2EFD5D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</w:t>
            </w:r>
          </w:p>
        </w:tc>
      </w:tr>
      <w:tr w:rsidR="003F1BB3" w14:paraId="36E001A1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9F84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5D7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F9C" w14:textId="1DB3E9C2" w:rsidR="003F1BB3" w:rsidRDefault="003F1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9BB" w14:textId="158F95C0" w:rsidR="003F1BB3" w:rsidRDefault="00CA2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5074,4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E68" w14:textId="1386F70A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C99" w14:textId="4CCC1CB1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123,1</w:t>
            </w:r>
          </w:p>
        </w:tc>
      </w:tr>
      <w:tr w:rsidR="003F1BB3" w14:paraId="0B8F4AFD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23C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2FC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98E" w14:textId="0A8AD959" w:rsidR="003F1BB3" w:rsidRDefault="003F1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EE2" w14:textId="52AFAFFA" w:rsidR="003F1BB3" w:rsidRDefault="00CA23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55531,1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F83" w14:textId="561C4F15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42134,8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E5C" w14:textId="21D53777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414,5</w:t>
            </w:r>
          </w:p>
        </w:tc>
      </w:tr>
      <w:tr w:rsidR="003F1BB3" w14:paraId="1F356623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E0A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0CF8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692" w14:textId="69235B1D" w:rsidR="003F1BB3" w:rsidRDefault="003F1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12880,2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CE2" w14:textId="52751936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EE2" w14:textId="62988611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57" w14:textId="0132CC78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328,2</w:t>
            </w:r>
          </w:p>
        </w:tc>
      </w:tr>
      <w:tr w:rsidR="003F1BB3" w14:paraId="18C726D7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4E9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4154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F76" w14:textId="5C336D10" w:rsidR="003F1BB3" w:rsidRDefault="003F1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251285,7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155" w14:textId="46CC1848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257516,9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DF2" w14:textId="0EDCA18A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579" w14:textId="4330ED37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102,5</w:t>
            </w:r>
          </w:p>
        </w:tc>
      </w:tr>
      <w:tr w:rsidR="003F1BB3" w14:paraId="36F5A23E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E74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264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6C1" w14:textId="1590B3B0" w:rsidR="003F1BB3" w:rsidRDefault="003F1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46994,8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0D8" w14:textId="6932B29A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43559,6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311" w14:textId="6C6CEFDA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-3435,2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A6" w14:textId="6C44F412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92,7</w:t>
            </w:r>
          </w:p>
        </w:tc>
      </w:tr>
      <w:tr w:rsidR="003F1BB3" w14:paraId="278162F9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85F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1CE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5A3" w14:textId="37A7D5FE" w:rsidR="003F1BB3" w:rsidRDefault="00BD0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23628,6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B31" w14:textId="0EC58E8F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22899,6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61A" w14:textId="08246E14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497" w14:textId="669BBFA4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96,9</w:t>
            </w:r>
          </w:p>
        </w:tc>
      </w:tr>
      <w:tr w:rsidR="003F1BB3" w14:paraId="6C009275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430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517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A0E" w14:textId="16D9FB5C" w:rsidR="003F1BB3" w:rsidRDefault="00BD0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57D" w14:textId="372D1E90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469" w14:textId="1B3FC9ED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E7C" w14:textId="010E2E3E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217,6</w:t>
            </w:r>
          </w:p>
        </w:tc>
      </w:tr>
      <w:tr w:rsidR="003F1BB3" w14:paraId="3A16C200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12C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9C4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384" w14:textId="4D814C6C" w:rsidR="003F1BB3" w:rsidRDefault="00BD0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B72" w14:textId="448375F4" w:rsidR="003F1BB3" w:rsidRDefault="00A26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1752,7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536" w14:textId="795B3294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21B" w14:textId="726DE7D7" w:rsidR="003F1BB3" w:rsidRDefault="007F0C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84,9</w:t>
            </w:r>
          </w:p>
        </w:tc>
      </w:tr>
      <w:tr w:rsidR="003F1BB3" w14:paraId="04A52CB6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161D4E26" w14:textId="77777777" w:rsidR="003F1BB3" w:rsidRDefault="003F1B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7D4BBA9A" w14:textId="77777777" w:rsidR="003F1BB3" w:rsidRDefault="003F1B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5D42ABFE" w14:textId="294D942C" w:rsidR="003F1BB3" w:rsidRDefault="00BD04C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390244,3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1CD0776" w14:textId="0C128A61" w:rsidR="003F1BB3" w:rsidRDefault="00A26F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476172,2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11A4320E" w14:textId="46DD9051" w:rsidR="003F1BB3" w:rsidRDefault="007F0C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85927,9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321040C" w14:textId="5497FD06" w:rsidR="003F1BB3" w:rsidRDefault="007F0CD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122,0</w:t>
            </w:r>
          </w:p>
        </w:tc>
      </w:tr>
    </w:tbl>
    <w:p w14:paraId="425AA4F3" w14:textId="77777777" w:rsidR="003F1BB3" w:rsidRDefault="003F1BB3" w:rsidP="008722C3">
      <w:pPr>
        <w:spacing w:before="240" w:line="360" w:lineRule="auto"/>
        <w:ind w:firstLine="709"/>
        <w:jc w:val="both"/>
      </w:pPr>
    </w:p>
    <w:p w14:paraId="2E4DAC13" w14:textId="1EE036EE" w:rsidR="007F0CD9" w:rsidRDefault="007F0CD9" w:rsidP="007F0CD9">
      <w:pPr>
        <w:spacing w:before="240" w:line="360" w:lineRule="auto"/>
        <w:ind w:firstLine="567"/>
        <w:jc w:val="both"/>
      </w:pPr>
      <w:r>
        <w:lastRenderedPageBreak/>
        <w:t>В целом, расходы районного бюджета, по сравнению с прошлым годом, выросли на 22,0% или 85927,9 тыс. рублей. Рост расходов наблюдается практически по всем разделам классификации расходов, за исключением расходов на социальную политику и средства массовой информации.</w:t>
      </w:r>
    </w:p>
    <w:p w14:paraId="538990EB" w14:textId="080F31CF" w:rsidR="0095321B" w:rsidRPr="006041E3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5E739F">
        <w:t>ое</w:t>
      </w:r>
      <w:r>
        <w:t xml:space="preserve"> </w:t>
      </w:r>
      <w:r w:rsidR="005E739F">
        <w:t xml:space="preserve">полугодие </w:t>
      </w:r>
      <w:r>
        <w:t>20</w:t>
      </w:r>
      <w:r w:rsidR="00045F7C">
        <w:t>2</w:t>
      </w:r>
      <w:r w:rsidR="007F0CD9">
        <w:t>2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7F0CD9">
        <w:t>326609,8</w:t>
      </w:r>
      <w:r w:rsidRPr="004E698C">
        <w:t xml:space="preserve"> тыс. рублей или </w:t>
      </w:r>
      <w:r w:rsidR="007F0CD9">
        <w:t>68,6</w:t>
      </w:r>
      <w:r w:rsidRPr="004E698C">
        <w:t xml:space="preserve">% от всех расходов. По сравнению с первым </w:t>
      </w:r>
      <w:r w:rsidR="005E739F">
        <w:t>полугодием</w:t>
      </w:r>
      <w:r w:rsidRPr="006041E3">
        <w:t xml:space="preserve"> 20</w:t>
      </w:r>
      <w:r w:rsidR="004E698C">
        <w:t>2</w:t>
      </w:r>
      <w:r w:rsidR="007F0CD9">
        <w:t>1</w:t>
      </w:r>
      <w:r w:rsidRPr="006041E3">
        <w:t xml:space="preserve"> года расходы на социальную сферу увеличились на </w:t>
      </w:r>
      <w:r w:rsidR="004B1898">
        <w:t>2231,6</w:t>
      </w:r>
      <w:r w:rsidR="005E739F">
        <w:t xml:space="preserve"> </w:t>
      </w:r>
      <w:r w:rsidRPr="006041E3">
        <w:t xml:space="preserve">тыс. рублей или </w:t>
      </w:r>
      <w:r w:rsidR="004B1898">
        <w:t>0,7</w:t>
      </w:r>
      <w:r w:rsidRPr="006041E3">
        <w:t>%.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6B620339">
            <wp:extent cx="5975985" cy="4624417"/>
            <wp:effectExtent l="0" t="0" r="5715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EFA35" w14:textId="77777777" w:rsidR="00045F7C" w:rsidRPr="00004303" w:rsidRDefault="00045F7C" w:rsidP="001A49F9">
      <w:pPr>
        <w:spacing w:after="240" w:line="276" w:lineRule="auto"/>
        <w:ind w:firstLine="567"/>
        <w:jc w:val="both"/>
      </w:pPr>
      <w:r w:rsidRPr="00004303"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2D2945AE" wp14:editId="73CDCA12">
            <wp:extent cx="5752465" cy="2673310"/>
            <wp:effectExtent l="0" t="0" r="63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9F2375" w14:textId="77777777" w:rsidR="001D5A62" w:rsidRDefault="001D5A62" w:rsidP="001D5A62">
      <w:pPr>
        <w:spacing w:before="240" w:line="360" w:lineRule="auto"/>
        <w:ind w:firstLine="567"/>
        <w:jc w:val="both"/>
      </w:pPr>
      <w:r>
        <w:t>Расходы районного бюджета на 2022 год по ведомственной структуре расходов, в сравнении с аналогичным периодом 2021 года, приведены в таблице: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2728"/>
        <w:gridCol w:w="1475"/>
        <w:gridCol w:w="1405"/>
        <w:gridCol w:w="1421"/>
        <w:gridCol w:w="1049"/>
        <w:gridCol w:w="1346"/>
      </w:tblGrid>
      <w:tr w:rsidR="001D5A62" w14:paraId="3F0DBFD8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22020FD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259E4974" w14:textId="49A7E796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  01.07.2021г.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749BD1" w14:textId="75CB4E7D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  01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.07.2022г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88A8601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Изменения 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+,-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543AF7B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10AFB05E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Удельный вес в общем объеме расходов, %</w:t>
            </w:r>
          </w:p>
        </w:tc>
      </w:tr>
      <w:tr w:rsidR="001D5A62" w14:paraId="086DD827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611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06C" w14:textId="00792C0C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DC8E" w14:textId="07637360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DF3" w14:textId="101DA018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+23,7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F5E" w14:textId="574A07CB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5B1" w14:textId="4AC796CB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D5A62" w14:paraId="20B589F5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344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343" w14:textId="7D5DEB16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65430,6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290D" w14:textId="00FD82AE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139532,9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4AE" w14:textId="29D180FE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+74102,3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74" w14:textId="31464D63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6E" w14:textId="65F0CAC7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1D5A62" w14:paraId="501F173E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73B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финансов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A5C" w14:textId="4BAF6FB8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8371,9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2DC" w14:textId="2680FECE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16149,1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126" w14:textId="4C5E0696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+7777,2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921" w14:textId="11CFFC99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73C" w14:textId="61A016BF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1D5A62" w14:paraId="02CBF3F1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579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КСК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7A1" w14:textId="77777777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555,3</w:t>
            </w:r>
          </w:p>
          <w:p w14:paraId="3F667587" w14:textId="5DD1EC01" w:rsidR="00813100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C53" w14:textId="6BCF0680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5A7" w14:textId="11062107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-109,0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EA" w14:textId="1C1657A9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A74" w14:textId="55959126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D5A62" w14:paraId="613A3ABB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92F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спорта, молодежной и социальной политики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89A" w14:textId="4C7A755D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56059,8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6556" w14:textId="33AED6D3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52008,7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278" w14:textId="6B5B7A2A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-4051,1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158" w14:textId="2E424F3E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F50" w14:textId="65EE50FE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1D5A62" w14:paraId="4E7ED658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A64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BB" w14:textId="2FF9E6DC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259168,8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20C2" w14:textId="66867DE4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267353,6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BCA" w14:textId="5AB5CD09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+8184,8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AC8" w14:textId="0CDA377B" w:rsidR="001D5A62" w:rsidRDefault="00813100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8C" w14:textId="02A61996" w:rsidR="001D5A62" w:rsidRDefault="001D5A6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1D5A62" w14:paraId="3F5F444F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72F1CACD" w14:textId="77777777" w:rsidR="001D5A62" w:rsidRDefault="001D5A62" w:rsidP="001D5A6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40FE1CB3" w14:textId="42F8A3E9" w:rsidR="001D5A62" w:rsidRDefault="00813100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390244,3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6F9FCD2D" w14:textId="0426DA1D" w:rsidR="001D5A62" w:rsidRDefault="001D5A62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476172,2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08F227E" w14:textId="4E2E3B66" w:rsidR="001D5A62" w:rsidRDefault="00813100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+85927,9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E2B3262" w14:textId="2E2D3F30" w:rsidR="001D5A62" w:rsidRDefault="00813100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0A38C80D" w14:textId="393045E4" w:rsidR="001D5A62" w:rsidRDefault="001D5A62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44CC5D45" w14:textId="59ADC16B" w:rsidR="001D5A62" w:rsidRDefault="001D5A62" w:rsidP="001D5A62">
      <w:pPr>
        <w:spacing w:before="240" w:line="360" w:lineRule="auto"/>
        <w:ind w:firstLine="567"/>
        <w:jc w:val="both"/>
      </w:pPr>
      <w:r>
        <w:t xml:space="preserve">Рост расходов произошел </w:t>
      </w:r>
      <w:r w:rsidR="00813100">
        <w:t xml:space="preserve">практически </w:t>
      </w:r>
      <w:r>
        <w:t>по всем главным распорядителям бюджетных средств</w:t>
      </w:r>
      <w:r w:rsidR="00813100">
        <w:t xml:space="preserve"> кроме КСК Добринского муниципального района и Отдела культуры, спорта, молодежной и социальной политики</w:t>
      </w:r>
      <w:r w:rsidR="00653547">
        <w:t xml:space="preserve"> администрации района</w:t>
      </w:r>
      <w:r>
        <w:t xml:space="preserve">. Наибольший рост, в сравнении с прошлым отчетным периодом, </w:t>
      </w:r>
      <w:r>
        <w:lastRenderedPageBreak/>
        <w:t xml:space="preserve">наблюдается по </w:t>
      </w:r>
      <w:r w:rsidR="00653547">
        <w:t>Администрации Добринского муниципального района</w:t>
      </w:r>
      <w:r w:rsidR="00155C7C">
        <w:t xml:space="preserve"> в связи со строительством дороги</w:t>
      </w:r>
      <w:r w:rsidR="00653547">
        <w:t xml:space="preserve"> и </w:t>
      </w:r>
      <w:r>
        <w:t>Управлению финансов администрации Добринского муниципального района в связи с созданием подведомственного учреждения МКУ "ЦК в СБУ и МЗ".</w:t>
      </w:r>
    </w:p>
    <w:p w14:paraId="53EFFDB5" w14:textId="77777777" w:rsidR="0014783F" w:rsidRPr="001D5A62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1D5A62">
        <w:rPr>
          <w:b/>
          <w:sz w:val="32"/>
          <w:szCs w:val="32"/>
        </w:rPr>
        <w:t>Муниципальные программы</w:t>
      </w:r>
      <w:r w:rsidRPr="001D5A62">
        <w:rPr>
          <w:b/>
        </w:rPr>
        <w:t>.</w:t>
      </w:r>
    </w:p>
    <w:p w14:paraId="529BB5E5" w14:textId="31E39E22" w:rsidR="007D7256" w:rsidRDefault="007D7256" w:rsidP="007D7256">
      <w:pPr>
        <w:spacing w:before="240" w:line="360" w:lineRule="auto"/>
        <w:ind w:firstLine="567"/>
        <w:jc w:val="both"/>
      </w:pPr>
      <w:r>
        <w:t>Решением Совета депутатов Добринского муниципального района от 28.12.2021г. №100-рс «О районном бюджете на 2022 год и на плановый период 2023 и 2024 годов» (с внесенными изменениями от 04.03.2022г. №120-рс</w:t>
      </w:r>
      <w:r w:rsidR="002F1584">
        <w:t>, от 12.04.2022г. №132-рс, от 17.05.2022г. №147-рс</w:t>
      </w:r>
      <w:r>
        <w:t>) предусмотрены расходы на реализацию 8 муниципальных программ в объеме 11</w:t>
      </w:r>
      <w:r w:rsidR="002F1584">
        <w:t>77863</w:t>
      </w:r>
      <w:r>
        <w:t>,</w:t>
      </w:r>
      <w:r w:rsidR="002F1584">
        <w:t>7</w:t>
      </w:r>
      <w:r>
        <w:t xml:space="preserve"> тыс. рублей. </w:t>
      </w:r>
    </w:p>
    <w:p w14:paraId="3A9DEA9C" w14:textId="6051AFA5" w:rsidR="007D7256" w:rsidRDefault="007D7256" w:rsidP="007D7256">
      <w:pPr>
        <w:spacing w:line="360" w:lineRule="auto"/>
        <w:ind w:firstLine="567"/>
        <w:jc w:val="both"/>
      </w:pPr>
      <w:r>
        <w:t xml:space="preserve">Финансирование муниципальных программ за отчетный период составило </w:t>
      </w:r>
      <w:r w:rsidR="002F1584">
        <w:t>471650</w:t>
      </w:r>
      <w:r>
        <w:t>,</w:t>
      </w:r>
      <w:r w:rsidR="002F1584">
        <w:t>9</w:t>
      </w:r>
      <w:r>
        <w:t xml:space="preserve"> тыс. рублей или </w:t>
      </w:r>
      <w:r w:rsidR="002F1584">
        <w:t>40,0</w:t>
      </w:r>
      <w:r>
        <w:t>% от годового плана, утвержденного в соответствии со сводной бюджетной росписью.</w:t>
      </w:r>
    </w:p>
    <w:p w14:paraId="3812317E" w14:textId="38475413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B61599">
        <w:tc>
          <w:tcPr>
            <w:tcW w:w="4540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B61599">
        <w:tc>
          <w:tcPr>
            <w:tcW w:w="4540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7AFC5547" w14:textId="27502536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4994,5</w:t>
            </w:r>
          </w:p>
        </w:tc>
        <w:tc>
          <w:tcPr>
            <w:tcW w:w="1662" w:type="dxa"/>
          </w:tcPr>
          <w:p w14:paraId="3D607137" w14:textId="43B657CD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</w:t>
            </w:r>
          </w:p>
        </w:tc>
        <w:tc>
          <w:tcPr>
            <w:tcW w:w="1505" w:type="dxa"/>
          </w:tcPr>
          <w:p w14:paraId="37E41E87" w14:textId="3099669C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9035B" w:rsidRPr="00C9035B" w14:paraId="155033C8" w14:textId="77777777" w:rsidTr="00B61599">
        <w:tc>
          <w:tcPr>
            <w:tcW w:w="4540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4671B2AB" w14:textId="5719C3C8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166804,3</w:t>
            </w:r>
          </w:p>
        </w:tc>
        <w:tc>
          <w:tcPr>
            <w:tcW w:w="1662" w:type="dxa"/>
          </w:tcPr>
          <w:p w14:paraId="12E03127" w14:textId="277AA44A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78205,5</w:t>
            </w:r>
          </w:p>
        </w:tc>
        <w:tc>
          <w:tcPr>
            <w:tcW w:w="1505" w:type="dxa"/>
          </w:tcPr>
          <w:p w14:paraId="3DCA4F47" w14:textId="527F387B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C9035B" w:rsidRPr="00C9035B" w14:paraId="0D32ED0E" w14:textId="77777777" w:rsidTr="00B61599">
        <w:tc>
          <w:tcPr>
            <w:tcW w:w="4540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501DB57A" w14:textId="789997AA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406240,7</w:t>
            </w:r>
          </w:p>
        </w:tc>
        <w:tc>
          <w:tcPr>
            <w:tcW w:w="1662" w:type="dxa"/>
          </w:tcPr>
          <w:p w14:paraId="1EC7E748" w14:textId="419E316B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104449,0</w:t>
            </w:r>
          </w:p>
        </w:tc>
        <w:tc>
          <w:tcPr>
            <w:tcW w:w="1505" w:type="dxa"/>
          </w:tcPr>
          <w:p w14:paraId="76008673" w14:textId="3D4F630C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C9035B" w:rsidRPr="00C9035B" w14:paraId="31DD5131" w14:textId="77777777" w:rsidTr="00B61599">
        <w:tc>
          <w:tcPr>
            <w:tcW w:w="4540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C188776" w14:textId="44F81A0D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10306,2</w:t>
            </w:r>
          </w:p>
        </w:tc>
        <w:tc>
          <w:tcPr>
            <w:tcW w:w="1662" w:type="dxa"/>
          </w:tcPr>
          <w:p w14:paraId="0411BDF8" w14:textId="571645AD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4321,6</w:t>
            </w:r>
          </w:p>
        </w:tc>
        <w:tc>
          <w:tcPr>
            <w:tcW w:w="1505" w:type="dxa"/>
          </w:tcPr>
          <w:p w14:paraId="37B18F90" w14:textId="344F7837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C9035B" w:rsidRPr="00C9035B" w14:paraId="4D16BEFC" w14:textId="77777777" w:rsidTr="00B61599">
        <w:tc>
          <w:tcPr>
            <w:tcW w:w="4540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BE284C8" w14:textId="3B5BC51A" w:rsidR="00D53BD8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96080,1</w:t>
            </w:r>
          </w:p>
        </w:tc>
        <w:tc>
          <w:tcPr>
            <w:tcW w:w="1662" w:type="dxa"/>
          </w:tcPr>
          <w:p w14:paraId="6C0CDE2C" w14:textId="33C6ED2F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41129,1</w:t>
            </w:r>
          </w:p>
        </w:tc>
        <w:tc>
          <w:tcPr>
            <w:tcW w:w="1505" w:type="dxa"/>
          </w:tcPr>
          <w:p w14:paraId="44B41F04" w14:textId="46486704" w:rsidR="00C9035B" w:rsidRPr="00C9035B" w:rsidRDefault="00655BA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C9035B" w:rsidRPr="00C9035B" w14:paraId="17D8877B" w14:textId="77777777" w:rsidTr="00B61599">
        <w:tc>
          <w:tcPr>
            <w:tcW w:w="4540" w:type="dxa"/>
          </w:tcPr>
          <w:p w14:paraId="7CA99DEA" w14:textId="77777777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121C0815" w14:textId="28EFED78" w:rsidR="00C9035B" w:rsidRPr="00C9035B" w:rsidRDefault="00655BA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483954,1</w:t>
            </w:r>
          </w:p>
        </w:tc>
        <w:tc>
          <w:tcPr>
            <w:tcW w:w="1662" w:type="dxa"/>
          </w:tcPr>
          <w:p w14:paraId="586EBAA9" w14:textId="10A2F1DB" w:rsidR="00C9035B" w:rsidRPr="00C9035B" w:rsidRDefault="00655BA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236758,3</w:t>
            </w:r>
          </w:p>
        </w:tc>
        <w:tc>
          <w:tcPr>
            <w:tcW w:w="1505" w:type="dxa"/>
          </w:tcPr>
          <w:p w14:paraId="2AFBC59B" w14:textId="2C5B0849" w:rsidR="00C9035B" w:rsidRPr="00C9035B" w:rsidRDefault="00655BA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B61599" w:rsidRPr="00C9035B" w14:paraId="380AA65B" w14:textId="77777777" w:rsidTr="00B61599">
        <w:tc>
          <w:tcPr>
            <w:tcW w:w="4540" w:type="dxa"/>
          </w:tcPr>
          <w:p w14:paraId="3AB872F9" w14:textId="62419711" w:rsidR="00B61599" w:rsidRPr="00B61599" w:rsidRDefault="00B61599" w:rsidP="00C9035B">
            <w:pPr>
              <w:jc w:val="both"/>
              <w:rPr>
                <w:sz w:val="24"/>
                <w:szCs w:val="24"/>
              </w:rPr>
            </w:pPr>
            <w:r w:rsidRPr="00B61599">
              <w:rPr>
                <w:sz w:val="24"/>
                <w:szCs w:val="24"/>
              </w:rPr>
              <w:t>«Профилактика терроризма на территории Добринского муниципального района»</w:t>
            </w:r>
          </w:p>
        </w:tc>
        <w:tc>
          <w:tcPr>
            <w:tcW w:w="1644" w:type="dxa"/>
          </w:tcPr>
          <w:p w14:paraId="511F963E" w14:textId="0111BE6E" w:rsidR="00B61599" w:rsidRDefault="00655BA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9453,8</w:t>
            </w:r>
          </w:p>
        </w:tc>
        <w:tc>
          <w:tcPr>
            <w:tcW w:w="1662" w:type="dxa"/>
          </w:tcPr>
          <w:p w14:paraId="43D3B5EB" w14:textId="09935D35" w:rsidR="00B61599" w:rsidRDefault="00655BA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6526,8</w:t>
            </w:r>
          </w:p>
        </w:tc>
        <w:tc>
          <w:tcPr>
            <w:tcW w:w="1505" w:type="dxa"/>
          </w:tcPr>
          <w:p w14:paraId="2BF6D9B4" w14:textId="718B8550" w:rsidR="00B61599" w:rsidRDefault="00655BA1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B61599" w:rsidRPr="00B61599" w14:paraId="688789BF" w14:textId="77777777" w:rsidTr="00B61599">
        <w:tc>
          <w:tcPr>
            <w:tcW w:w="4540" w:type="dxa"/>
          </w:tcPr>
          <w:p w14:paraId="53E27EF7" w14:textId="75186F71" w:rsidR="00B61599" w:rsidRDefault="00B61599" w:rsidP="00B61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1599">
              <w:rPr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14:paraId="332DA226" w14:textId="737ADCF2" w:rsidR="00B61599" w:rsidRDefault="00655BA1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62" w:type="dxa"/>
          </w:tcPr>
          <w:p w14:paraId="78B24C2A" w14:textId="11E2861B" w:rsidR="00B61599" w:rsidRDefault="00655BA1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14:paraId="6B20E895" w14:textId="42407904" w:rsidR="00B61599" w:rsidRDefault="00655BA1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1599" w:rsidRPr="00C9035B" w14:paraId="71D9423B" w14:textId="77777777" w:rsidTr="00B61599">
        <w:tc>
          <w:tcPr>
            <w:tcW w:w="4540" w:type="dxa"/>
            <w:shd w:val="clear" w:color="auto" w:fill="F2B9A8" w:themeFill="accent6" w:themeFillTint="66"/>
          </w:tcPr>
          <w:p w14:paraId="68D227B0" w14:textId="77777777" w:rsidR="00B61599" w:rsidRPr="007E4ABE" w:rsidRDefault="00B61599" w:rsidP="00B61599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61497901" w14:textId="7AC0E3E2" w:rsidR="00B61599" w:rsidRPr="007E4ABE" w:rsidRDefault="002F1584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1177863,7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5AB4150C" w14:textId="6E5DF793" w:rsidR="00B61599" w:rsidRPr="007E4ABE" w:rsidRDefault="002F1584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471650,9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49984699" w14:textId="5C2D6DBC" w:rsidR="00B61599" w:rsidRPr="007E4ABE" w:rsidRDefault="002F1584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6310035E" w14:textId="47FB2765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«Создание условий для развития экономики Добринского муниципального района на 2019-2024 годы» финансирование за первое полугодие 2022 года составило 260,6 тыс. рублей или </w:t>
      </w:r>
      <w:r w:rsidR="00AE765E">
        <w:t xml:space="preserve">5,2%, в том числе за счет средств областного бюджета – 227,0 тыс. рублей, за счет средств районного бюджета </w:t>
      </w:r>
      <w:r w:rsidR="00D71A26">
        <w:t>–</w:t>
      </w:r>
      <w:r w:rsidR="00AE765E">
        <w:t xml:space="preserve"> </w:t>
      </w:r>
      <w:r w:rsidR="00D71A26">
        <w:t>33,6 тыс. рублей. Финансирование осуществлялось по двум подпрограммам:</w:t>
      </w:r>
    </w:p>
    <w:p w14:paraId="09231B9F" w14:textId="791DED81" w:rsidR="00D71A26" w:rsidRDefault="00D71A26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«Развитие малого и среднего предпринимательства в Добринском муниципальном районе» - 19,1 тыс. рублей (методическое, информационное обеспечение сферы малого и среднего предприн</w:t>
      </w:r>
      <w:r w:rsidR="002D2AB6">
        <w:t>и</w:t>
      </w:r>
      <w:r>
        <w:t>мательства</w:t>
      </w:r>
      <w:r w:rsidR="002D2AB6">
        <w:t>);</w:t>
      </w:r>
    </w:p>
    <w:p w14:paraId="0C2D5E09" w14:textId="1F543AC3" w:rsidR="002D2AB6" w:rsidRPr="00D71A26" w:rsidRDefault="002D2AB6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«Развитие потребительского рынка Добринского муниципального района» - 241,5 тыс. рублей (предоставление субсидий на создание условий для обеспечения услугами торговли и бытового обслуживания поселений, входящих в состав муниципального района).</w:t>
      </w:r>
    </w:p>
    <w:p w14:paraId="785E22B5" w14:textId="1B9C6444" w:rsidR="00655BA1" w:rsidRDefault="00655BA1" w:rsidP="00655BA1">
      <w:pPr>
        <w:spacing w:line="360" w:lineRule="auto"/>
        <w:ind w:firstLine="567"/>
        <w:jc w:val="both"/>
      </w:pPr>
      <w:r>
        <w:t>По муниципальной программе «Развитие социальной сферы Добринского муниципального района на 2019-2024 годы» финансирование за перв</w:t>
      </w:r>
      <w:r w:rsidR="002D2AB6">
        <w:t>ое</w:t>
      </w:r>
      <w:r>
        <w:t xml:space="preserve"> </w:t>
      </w:r>
      <w:r w:rsidR="002D2AB6">
        <w:t>полугодие</w:t>
      </w:r>
      <w:r>
        <w:t xml:space="preserve"> 2022 года составило </w:t>
      </w:r>
      <w:r w:rsidR="002D2AB6">
        <w:t>78205,5</w:t>
      </w:r>
      <w:r>
        <w:t xml:space="preserve"> тыс. рублей</w:t>
      </w:r>
      <w:r w:rsidR="00164F3E" w:rsidRPr="00164F3E">
        <w:t xml:space="preserve"> </w:t>
      </w:r>
      <w:r w:rsidR="00164F3E">
        <w:t>или 46,9%</w:t>
      </w:r>
      <w:r>
        <w:t xml:space="preserve">, в том числе за счет средств </w:t>
      </w:r>
      <w:r w:rsidR="00164F3E">
        <w:t xml:space="preserve">федерального бюджета – 3766,0 тыс. рублей, областного бюджета – 36547,0 тыс. рублей, </w:t>
      </w:r>
      <w:r>
        <w:t xml:space="preserve">районного бюджета – </w:t>
      </w:r>
      <w:r w:rsidR="00164F3E">
        <w:t>37892,5</w:t>
      </w:r>
      <w:r>
        <w:t xml:space="preserve"> тыс. рублей. Финансирование осуществляется по </w:t>
      </w:r>
      <w:r w:rsidR="002649E9" w:rsidRPr="002649E9">
        <w:t>четырем</w:t>
      </w:r>
      <w:r w:rsidRPr="00164F3E">
        <w:rPr>
          <w:color w:val="F69200" w:themeColor="accent3"/>
        </w:rPr>
        <w:t xml:space="preserve"> </w:t>
      </w:r>
      <w:r>
        <w:t>подпрограммам:</w:t>
      </w:r>
    </w:p>
    <w:p w14:paraId="4E6679BB" w14:textId="1FB265D9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«Духовно-нравственное и физическое развитие жителей Добринского муниципального района» - </w:t>
      </w:r>
      <w:r w:rsidR="00164F3E">
        <w:t>1540,5</w:t>
      </w:r>
      <w:r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 </w:t>
      </w:r>
      <w:r w:rsidR="001B2684">
        <w:t xml:space="preserve">реализация расходов по </w:t>
      </w:r>
      <w:r w:rsidR="001B2684">
        <w:lastRenderedPageBreak/>
        <w:t>переданным полномочиям областного бюджета, развитие молодежного детского движения</w:t>
      </w:r>
      <w:r>
        <w:t>);</w:t>
      </w:r>
    </w:p>
    <w:p w14:paraId="4C58DE10" w14:textId="3B3BC927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 w:rsidRPr="00BB316C">
        <w:t>«Развитие и сохранение культуры Добринского муниципального</w:t>
      </w:r>
      <w:r>
        <w:t xml:space="preserve"> района» - </w:t>
      </w:r>
      <w:r w:rsidR="00BB316C">
        <w:t>50038,4</w:t>
      </w:r>
      <w:r>
        <w:t xml:space="preserve"> тыс. рублей (</w:t>
      </w:r>
      <w:r w:rsidR="00BB316C">
        <w:t xml:space="preserve">проведение межрегиональных и районных фестивалей и мероприятий, </w:t>
      </w:r>
      <w:r>
        <w:t xml:space="preserve">обеспечение деятельности культурно-досуговых учреждений, </w:t>
      </w:r>
      <w:r w:rsidR="00AB6A2A">
        <w:t xml:space="preserve">обеспечение количественного роста и качественного улучшения библиотечных фондов, </w:t>
      </w:r>
      <w:r>
        <w:t>обеспечение деятельности муниципальных библиотек, обеспечение и организация учебного процесса, содержание учреждений дополнительного образования, реализация муниципальной политики</w:t>
      </w:r>
      <w:r w:rsidR="00AB6A2A">
        <w:t>, обеспечение финансово-хозяйственной деятельности</w:t>
      </w:r>
      <w:r>
        <w:t>). В рамках данной подпрограммы запланирован к реализации региональный проект «Творческие люди» на повышение квалификации работников культуры с объемом финансирования 52,9 тыс. рублей, из них за счет областного бюджета – 42,9 тыс. рублей, за счет средств районного бюджета – 10,0 тыс. рублей. По состоянию на 01.0</w:t>
      </w:r>
      <w:r w:rsidR="00AB6A2A">
        <w:t>7</w:t>
      </w:r>
      <w:r>
        <w:t>.2022г. кассовые расходы не производились.</w:t>
      </w:r>
    </w:p>
    <w:p w14:paraId="084BF192" w14:textId="02AA8773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522996">
        <w:t>26567,2</w:t>
      </w:r>
      <w:r>
        <w:t xml:space="preserve"> тыс. рублей (социальная поддержка граждан, информирование населения о социально-экономическом и культурном развитии, проведение мероприятий).</w:t>
      </w:r>
    </w:p>
    <w:p w14:paraId="631AFF7F" w14:textId="58715F4D" w:rsidR="00522996" w:rsidRDefault="00522996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«Укрепление общественного здоровья населения Добринского муниципального района» - 59,4 тыс. рублей (</w:t>
      </w:r>
      <w:r w:rsidR="002649E9">
        <w:t>проведение физкультурных и комплексных физкультурных мероприятий для всех категорий и групп населения).</w:t>
      </w:r>
    </w:p>
    <w:p w14:paraId="647F14C6" w14:textId="0BE8B439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«Обеспечение населения Добринского муниципального района качественной инфраструктурой и услугами ЖКХ на 2019-2024 годы» финансирование составило </w:t>
      </w:r>
      <w:r w:rsidR="00907294">
        <w:t>104449,0</w:t>
      </w:r>
      <w:r>
        <w:t xml:space="preserve"> тыс. рублей, из них средства районного бюджета – </w:t>
      </w:r>
      <w:r w:rsidR="00907294">
        <w:t>49245,7</w:t>
      </w:r>
      <w:r>
        <w:t xml:space="preserve"> тыс. рублей, средства областного бюджета – </w:t>
      </w:r>
      <w:r w:rsidR="00907294">
        <w:t>55203,3</w:t>
      </w:r>
      <w:r>
        <w:t xml:space="preserve"> тыс. рублей. Финансирование осуществляется по </w:t>
      </w:r>
      <w:r w:rsidR="00A07964">
        <w:t>пяти</w:t>
      </w:r>
      <w:r>
        <w:t xml:space="preserve"> подпрограммам:</w:t>
      </w:r>
    </w:p>
    <w:p w14:paraId="7A4CEC9B" w14:textId="6F0A7E99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lastRenderedPageBreak/>
        <w:t xml:space="preserve">«Строительство, реконструкция, капитальный ремонт муниципального имущества и жилого фонда Добринского муниципального района» - </w:t>
      </w:r>
      <w:r w:rsidR="00907294">
        <w:t>19853,6</w:t>
      </w:r>
      <w:r>
        <w:t xml:space="preserve"> тыс. рублей (</w:t>
      </w:r>
      <w:r w:rsidR="00907294">
        <w:t>проведение капитального ремонта</w:t>
      </w:r>
      <w:r w:rsidR="0043630D">
        <w:t xml:space="preserve"> учреждений, </w:t>
      </w:r>
      <w:r>
        <w:t xml:space="preserve"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фонда, </w:t>
      </w:r>
      <w:r w:rsidR="0043630D">
        <w:t>строительство муниципального жилья</w:t>
      </w:r>
      <w:r>
        <w:t>);</w:t>
      </w:r>
    </w:p>
    <w:p w14:paraId="741E0019" w14:textId="3501B478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автомобильных дорог местного значения Добринского муниципального района и организация транспортного обслуживания населения» - </w:t>
      </w:r>
      <w:r w:rsidR="0007338C">
        <w:t>54167,3</w:t>
      </w:r>
      <w:r>
        <w:t xml:space="preserve"> тыс. рублей (содержание автомобильных дорог, капитальный ремонт автомобильных дорог, организация транспортного обслуживания населения, предоставление МБТ сельским поселениям</w:t>
      </w:r>
      <w:r w:rsidR="0007338C">
        <w:t>, строительство автомобильных дорог</w:t>
      </w:r>
      <w:r>
        <w:t>);</w:t>
      </w:r>
    </w:p>
    <w:p w14:paraId="3DF6C0C9" w14:textId="1094104D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«Энергосбережение и повышение энергетической эффективности Добринского муниципального района» - </w:t>
      </w:r>
      <w:r w:rsidR="0007338C">
        <w:t>588,4</w:t>
      </w:r>
      <w:r>
        <w:t xml:space="preserve"> тыс. рублей (содержание, теплоснабжение и энергоснабжение котельных муниципальных зданий, модернизация и реконструкция систем теплоснабжения с применением энергосберегающих оборудования и технологий),</w:t>
      </w:r>
    </w:p>
    <w:p w14:paraId="1B42214F" w14:textId="0496B97A" w:rsidR="0007338C" w:rsidRDefault="0007338C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«Обращение с отходами на территории Добринского муниципального района» - </w:t>
      </w:r>
      <w:r w:rsidR="008909E2">
        <w:t>16357,4 тыс. рублей (приобретение коммунальной техники).</w:t>
      </w:r>
    </w:p>
    <w:p w14:paraId="3E4EA2AE" w14:textId="586534C4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«Повышение качества водоснабжения населения Добринского муниципального района» - </w:t>
      </w:r>
      <w:r w:rsidR="008909E2">
        <w:t>13482,3</w:t>
      </w:r>
      <w:r>
        <w:t xml:space="preserve"> тыс. рублей, из них средства областного бюджета – </w:t>
      </w:r>
      <w:r w:rsidR="008909E2">
        <w:t>10673,5</w:t>
      </w:r>
      <w:r>
        <w:t xml:space="preserve"> тыс. рублей (организация водоснабжения</w:t>
      </w:r>
      <w:r w:rsidR="008909E2">
        <w:t xml:space="preserve"> населения и водоотведения, предоставление субсидий юридическим лицам, </w:t>
      </w:r>
      <w:r w:rsidR="00A07964">
        <w:t>осуществляющим основную деятельность по холодному водоснабжению и водоотведению).</w:t>
      </w:r>
    </w:p>
    <w:p w14:paraId="69C3C7DF" w14:textId="49A0914A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2019-2024 годы» финансирование за счет средств районного бюджета составило </w:t>
      </w:r>
      <w:r w:rsidR="00A07964">
        <w:t>4321,6</w:t>
      </w:r>
      <w:r>
        <w:t xml:space="preserve"> тыс. рублей или </w:t>
      </w:r>
      <w:r w:rsidR="00A07964">
        <w:t>41,9</w:t>
      </w:r>
      <w:r>
        <w:t xml:space="preserve">% от общего </w:t>
      </w:r>
      <w:r>
        <w:lastRenderedPageBreak/>
        <w:t>финансирования программы. Финансирование осуществляется по двум подпрограммам:</w:t>
      </w:r>
    </w:p>
    <w:p w14:paraId="16D7ADFA" w14:textId="5B24FDC7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- </w:t>
      </w:r>
      <w:r w:rsidR="00A07964">
        <w:t>3045,0</w:t>
      </w:r>
      <w:r>
        <w:t xml:space="preserve"> тыс. рублей (содержание и развитие МКУ ЕДДС);</w:t>
      </w:r>
    </w:p>
    <w:p w14:paraId="6B39FBE0" w14:textId="4360AA6D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A07964">
        <w:t>1276,6</w:t>
      </w:r>
      <w:r>
        <w:t xml:space="preserve"> тыс. рублей (система видеонаблюдения в общественных местах).</w:t>
      </w:r>
    </w:p>
    <w:p w14:paraId="2A80B916" w14:textId="286D5FDC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«Развитие системы эффективного муниципального управления Добринского муниципального района на 2019-2024 годы» финансирование составило </w:t>
      </w:r>
      <w:r w:rsidR="00A07964">
        <w:t>41129,1</w:t>
      </w:r>
      <w:r>
        <w:t xml:space="preserve"> тыс. рублей или </w:t>
      </w:r>
      <w:r w:rsidR="00A07964">
        <w:t>42,8</w:t>
      </w:r>
      <w:r>
        <w:t>% от общего финансирования программы</w:t>
      </w:r>
      <w:r w:rsidR="00880BE5">
        <w:t>, из них средства районного бюджета – 38867,5 тыс. рублей, средства областного бюджета – 1729,3 тыс. рублей, средства бюджетов сельских поселений – 532,3 тыс. рублей</w:t>
      </w:r>
      <w:r>
        <w:t xml:space="preserve">. Финансирование осуществлялось по </w:t>
      </w:r>
      <w:r w:rsidR="00FE59C0" w:rsidRPr="00FE59C0">
        <w:t>трем</w:t>
      </w:r>
      <w:r w:rsidRPr="00FE59C0">
        <w:t xml:space="preserve"> </w:t>
      </w:r>
      <w:r>
        <w:t>подпрограммам:</w:t>
      </w:r>
    </w:p>
    <w:p w14:paraId="27494C72" w14:textId="63D387E8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- </w:t>
      </w:r>
      <w:r w:rsidR="00880BE5">
        <w:t>25048,8</w:t>
      </w:r>
      <w:r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органов местного самоуправления);</w:t>
      </w:r>
    </w:p>
    <w:p w14:paraId="7D882534" w14:textId="418B1A65" w:rsidR="00FE59C0" w:rsidRDefault="00FE59C0" w:rsidP="00636CDA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«Совершенствование системы управления муниципальным имуществом и земельными участками Добринского муниципального района» - 51,5 тыс. рублей (оформление технической документации, кадастровых паспортов, межевание земель, регистрация права муниципальной собственности на имущество казны). В рамках данной подпрограммы запланирован к реализации региональный проект «Жилье» на реализацию мероприятий, направленных на подготовку и внесение изменений в </w:t>
      </w:r>
      <w:r>
        <w:lastRenderedPageBreak/>
        <w:t>генеральные планы, правила землепользования</w:t>
      </w:r>
      <w:r w:rsidR="009E0A08">
        <w:t xml:space="preserve"> и застройки сельских поселений и документацию по планировке территорий сельских поселений </w:t>
      </w:r>
      <w:r>
        <w:t xml:space="preserve">с объемом финансирования </w:t>
      </w:r>
      <w:r w:rsidR="009E0A08">
        <w:t>1663,3</w:t>
      </w:r>
      <w:r>
        <w:t xml:space="preserve"> тыс. рублей, из них за счет областного бюджета – </w:t>
      </w:r>
      <w:r w:rsidR="009E0A08">
        <w:t>1646,7</w:t>
      </w:r>
      <w:r>
        <w:t xml:space="preserve"> тыс. рублей, за счет средств районного бюджета – </w:t>
      </w:r>
      <w:r w:rsidR="009E0A08">
        <w:t>16,6</w:t>
      </w:r>
      <w:r>
        <w:t xml:space="preserve"> тыс. рублей. По состоянию на 01.07.2022г. кассовые расходы не производились.</w:t>
      </w:r>
    </w:p>
    <w:p w14:paraId="420687E2" w14:textId="7449DEB7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«Долгосрочное бюджетное планирование, совершенствование организации бюджетного процесса» - </w:t>
      </w:r>
      <w:r w:rsidR="009E0A08">
        <w:t>16028,9</w:t>
      </w:r>
      <w:r>
        <w:t xml:space="preserve"> тыс. рублей (расходы на оплату труда и обеспечение функций органов местного самоуправления, в том числе по переданным полномочиям</w:t>
      </w:r>
      <w:r w:rsidR="009E0A08">
        <w:t xml:space="preserve">, содержание </w:t>
      </w:r>
      <w:r w:rsidR="009E0A08" w:rsidRPr="009E0A08">
        <w:t xml:space="preserve">МКУ </w:t>
      </w:r>
      <w:r w:rsidR="009E0A08">
        <w:t>«</w:t>
      </w:r>
      <w:r w:rsidR="009E0A08" w:rsidRPr="009E0A08">
        <w:t>ЦК в СБУ и МЗ</w:t>
      </w:r>
      <w:r w:rsidR="009E0A08">
        <w:t>»</w:t>
      </w:r>
      <w:r>
        <w:t>).</w:t>
      </w:r>
    </w:p>
    <w:p w14:paraId="0F97B41C" w14:textId="24CB1556" w:rsidR="00655BA1" w:rsidRPr="00C62BB6" w:rsidRDefault="00655BA1" w:rsidP="00655BA1">
      <w:pPr>
        <w:spacing w:line="360" w:lineRule="auto"/>
        <w:ind w:firstLine="567"/>
        <w:jc w:val="both"/>
      </w:pPr>
      <w:r w:rsidRPr="00EC20B5">
        <w:t xml:space="preserve">По муниципальной программе «Развитие образования Добринского муниципального района на 2019-2024 годы» финансирование составило </w:t>
      </w:r>
      <w:r w:rsidR="00EC20B5" w:rsidRPr="00EC20B5">
        <w:t>236758,3</w:t>
      </w:r>
      <w:r w:rsidRPr="00EC20B5">
        <w:t xml:space="preserve"> тыс. рублей или </w:t>
      </w:r>
      <w:r w:rsidR="00EC20B5" w:rsidRPr="00EC20B5">
        <w:t>48,9</w:t>
      </w:r>
      <w:r w:rsidRPr="00EC20B5">
        <w:t xml:space="preserve">% от общего финансирования программы. Финансирование осуществляется по </w:t>
      </w:r>
      <w:r w:rsidRPr="00C62BB6">
        <w:t>пяти подпрограммам:</w:t>
      </w:r>
    </w:p>
    <w:p w14:paraId="49E542D4" w14:textId="2A6D46DC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дошкольного образования» - </w:t>
      </w:r>
      <w:r w:rsidR="00EC20B5">
        <w:t>24745,3</w:t>
      </w:r>
      <w:r>
        <w:t xml:space="preserve"> тыс. рублей (обеспечение деятельности дошкольных учреждений</w:t>
      </w:r>
      <w:r w:rsidR="00EC20B5">
        <w:t xml:space="preserve"> и создание условий для развития дошкольного образования)</w:t>
      </w:r>
      <w:r>
        <w:t>;</w:t>
      </w:r>
    </w:p>
    <w:p w14:paraId="7B41A2BE" w14:textId="1BC661C3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общего образования» - </w:t>
      </w:r>
      <w:r w:rsidR="00EC20B5">
        <w:t>184844,6</w:t>
      </w:r>
      <w:r>
        <w:t xml:space="preserve"> тыс. рублей (создание условий для получения основного общего образования</w:t>
      </w:r>
      <w:r w:rsidR="00A051B4">
        <w:t>, обеспечение выплат ежемесячного денежного вознаграждения за классное руководство педагогическим работникам</w:t>
      </w:r>
      <w:r>
        <w:t>);</w:t>
      </w:r>
    </w:p>
    <w:p w14:paraId="200D4A29" w14:textId="01F0849F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A051B4">
        <w:t>18663,5</w:t>
      </w:r>
      <w:r>
        <w:t xml:space="preserve"> тыс. рублей (повышение эффективности обеспечение общедоступного и бесплатного дополнительного образования, обеспечение персонифицированного финансирования дополнительного образования детей, </w:t>
      </w:r>
      <w:r w:rsidR="00A051B4">
        <w:t>организация оздоровительной компании детей в лагерях с дневным пребыванием</w:t>
      </w:r>
      <w:r>
        <w:t>);</w:t>
      </w:r>
    </w:p>
    <w:p w14:paraId="38E2D98B" w14:textId="5E0AAF96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«Поддержка одаренных детей и их наставников» - </w:t>
      </w:r>
      <w:r w:rsidR="00B3735E">
        <w:t>704,8</w:t>
      </w:r>
      <w:r>
        <w:t xml:space="preserve"> тыс. рублей (создание условий, гарантирующих реализацию творческого потенциала детей района, поддержк</w:t>
      </w:r>
      <w:r w:rsidR="00B3735E">
        <w:t xml:space="preserve">а деятельности одаренных детей, </w:t>
      </w:r>
      <w:r w:rsidR="00B3735E">
        <w:lastRenderedPageBreak/>
        <w:t>преподавателей и образовательных учреждений, работающих с одаренными детьми</w:t>
      </w:r>
      <w:r>
        <w:t>);</w:t>
      </w:r>
    </w:p>
    <w:p w14:paraId="71C06A62" w14:textId="2B62892A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«Финансовое обеспечение и контроль» - </w:t>
      </w:r>
      <w:r w:rsidR="00B3735E">
        <w:t>7800,1</w:t>
      </w:r>
      <w:r>
        <w:t xml:space="preserve"> тыс. рублей (обеспечение деятельности финансово-экономической службы</w:t>
      </w:r>
      <w:r w:rsidR="00C62BB6">
        <w:t>, повышение эффективности управленческих решений</w:t>
      </w:r>
      <w:r>
        <w:t>).</w:t>
      </w:r>
    </w:p>
    <w:p w14:paraId="7DBE16FA" w14:textId="6B5DE3C5" w:rsidR="00655BA1" w:rsidRDefault="00655BA1" w:rsidP="00C62BB6">
      <w:pPr>
        <w:spacing w:line="360" w:lineRule="auto"/>
        <w:ind w:firstLine="567"/>
        <w:jc w:val="both"/>
      </w:pPr>
      <w:r>
        <w:t xml:space="preserve">По муниципальной программе «Профилактика терроризма на территории Добринского муниципального района на 2019-2024 годы» финансирование за счет средств районного бюджета составило </w:t>
      </w:r>
      <w:r w:rsidR="00C62BB6">
        <w:t>6526,8</w:t>
      </w:r>
      <w:r>
        <w:t xml:space="preserve"> тыс. рублей или </w:t>
      </w:r>
      <w:r w:rsidR="00C62BB6">
        <w:t>69</w:t>
      </w:r>
      <w:r>
        <w:t xml:space="preserve">,0% от общего объема финансирования программы. </w:t>
      </w:r>
    </w:p>
    <w:p w14:paraId="00846BE3" w14:textId="77777777" w:rsidR="00655BA1" w:rsidRDefault="00655BA1" w:rsidP="00655BA1">
      <w:pPr>
        <w:spacing w:line="360" w:lineRule="auto"/>
        <w:ind w:firstLine="567"/>
        <w:jc w:val="both"/>
      </w:pPr>
      <w:r>
        <w:t>Финансирование осуществляется по двум подпрограммам:</w:t>
      </w:r>
    </w:p>
    <w:p w14:paraId="732B88B4" w14:textId="77777777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«Комплексные мероприятия по профилактике терроризма среди населения» - финансирование не осуществлялось,</w:t>
      </w:r>
    </w:p>
    <w:p w14:paraId="682845CB" w14:textId="77777777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финансирование направлено на выполнение требований к антитеррористической защищенности учреждений образования.</w:t>
      </w:r>
    </w:p>
    <w:p w14:paraId="6C0A7168" w14:textId="77777777" w:rsidR="00655BA1" w:rsidRDefault="00655BA1" w:rsidP="00C62BB6">
      <w:pPr>
        <w:spacing w:line="360" w:lineRule="auto"/>
        <w:ind w:firstLine="567"/>
        <w:jc w:val="both"/>
      </w:pPr>
      <w:r>
        <w:t xml:space="preserve">По муниципальной программе «Профилактика экстремизма на территории Добринского муниципального района на 2019-2024 годы» финансирование не осуществлялось. </w:t>
      </w:r>
    </w:p>
    <w:p w14:paraId="2BF8A274" w14:textId="794587FC" w:rsidR="0091028F" w:rsidRPr="006B09D1" w:rsidRDefault="000C5F71" w:rsidP="0079125E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6B09D1">
        <w:rPr>
          <w:b/>
          <w:sz w:val="32"/>
          <w:szCs w:val="32"/>
        </w:rPr>
        <w:t>М</w:t>
      </w:r>
      <w:r w:rsidR="0091028F" w:rsidRPr="006B09D1">
        <w:rPr>
          <w:b/>
          <w:sz w:val="32"/>
          <w:szCs w:val="32"/>
        </w:rPr>
        <w:t>униципальный долг Добринского района.</w:t>
      </w:r>
    </w:p>
    <w:p w14:paraId="3564644D" w14:textId="77777777" w:rsidR="0079125E" w:rsidRDefault="0079125E" w:rsidP="0079125E">
      <w:pPr>
        <w:spacing w:line="360" w:lineRule="auto"/>
        <w:ind w:firstLine="567"/>
        <w:jc w:val="both"/>
      </w:pPr>
      <w:r>
        <w:t>Долговые обязательства муниципального района состоят из бюджетных кредитов, полученных из областного бюджета.</w:t>
      </w:r>
    </w:p>
    <w:p w14:paraId="6768A8C0" w14:textId="77777777" w:rsidR="0079125E" w:rsidRPr="00EF466C" w:rsidRDefault="0079125E" w:rsidP="0079125E">
      <w:pPr>
        <w:spacing w:line="360" w:lineRule="auto"/>
        <w:ind w:firstLine="567"/>
        <w:jc w:val="both"/>
      </w:pPr>
      <w:r w:rsidRPr="00ED7D09">
        <w:t xml:space="preserve">Статьей </w:t>
      </w:r>
      <w:r>
        <w:t>8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>
        <w:t>а</w:t>
      </w:r>
      <w:r w:rsidRPr="00ED7D09">
        <w:t xml:space="preserve"> </w:t>
      </w:r>
      <w:r w:rsidRPr="00EF466C">
        <w:t>Программа муниципальных внутренних заимствований Добринского муниципального района на 202</w:t>
      </w:r>
      <w:r>
        <w:t>2</w:t>
      </w:r>
      <w:r w:rsidRPr="00EF466C">
        <w:t xml:space="preserve"> год и на плановый период 202</w:t>
      </w:r>
      <w:r>
        <w:t>3</w:t>
      </w:r>
      <w:r w:rsidRPr="00EF466C">
        <w:t xml:space="preserve"> и 202</w:t>
      </w:r>
      <w:r>
        <w:t>4</w:t>
      </w:r>
      <w:r w:rsidRPr="00EF466C">
        <w:t xml:space="preserve"> годов</w:t>
      </w:r>
      <w:r>
        <w:t>,</w:t>
      </w:r>
      <w:r w:rsidRPr="00EF466C">
        <w:t xml:space="preserve"> согласно которой </w:t>
      </w:r>
      <w:r>
        <w:t>не запланировано привлечение и погашение бюджетных кредитов.</w:t>
      </w:r>
    </w:p>
    <w:p w14:paraId="351EB23B" w14:textId="77777777" w:rsidR="0079125E" w:rsidRDefault="0079125E" w:rsidP="0079125E">
      <w:pPr>
        <w:spacing w:line="360" w:lineRule="auto"/>
        <w:ind w:firstLine="567"/>
        <w:jc w:val="both"/>
      </w:pPr>
      <w:r w:rsidRPr="00ED7D09">
        <w:t>Верхний предел муниципального долга по состоянию на 01.01.20</w:t>
      </w:r>
      <w:r>
        <w:t>23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75A84B29" w14:textId="77777777" w:rsidR="0079125E" w:rsidRPr="00645755" w:rsidRDefault="0079125E" w:rsidP="0079125E">
      <w:pPr>
        <w:spacing w:line="360" w:lineRule="auto"/>
        <w:ind w:firstLine="567"/>
        <w:jc w:val="both"/>
        <w:rPr>
          <w:color w:val="000000" w:themeColor="text1"/>
        </w:rPr>
      </w:pPr>
      <w:r>
        <w:lastRenderedPageBreak/>
        <w:t>По состоянию на 01.04.2022 года муниципальный долг 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60427B4A" w14:textId="031E0795" w:rsidR="00557868" w:rsidRDefault="00557868" w:rsidP="00557868">
      <w:pPr>
        <w:spacing w:before="240"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28</w:t>
      </w:r>
      <w:r w:rsidRPr="000964B2">
        <w:t>.12.20</w:t>
      </w:r>
      <w:r>
        <w:t>21</w:t>
      </w:r>
      <w:r w:rsidRPr="000964B2">
        <w:t xml:space="preserve"> года №</w:t>
      </w:r>
      <w:r>
        <w:t>100</w:t>
      </w:r>
      <w:r w:rsidRPr="000964B2">
        <w:t xml:space="preserve">-рс </w:t>
      </w:r>
      <w:r w:rsidR="00176734">
        <w:t xml:space="preserve">статьей 4 </w:t>
      </w:r>
      <w:r w:rsidRPr="000964B2">
        <w:t xml:space="preserve">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>
        <w:t>5000,0 тыс.</w:t>
      </w:r>
      <w:r w:rsidRPr="000964B2">
        <w:t xml:space="preserve"> рублей. Размер резервного фонда составил </w:t>
      </w:r>
      <w:r>
        <w:t>0,5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7180B1C7" w14:textId="77777777" w:rsidR="00557868" w:rsidRPr="000964B2" w:rsidRDefault="00557868" w:rsidP="00557868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04</w:t>
      </w:r>
      <w:r w:rsidRPr="000964B2">
        <w:t>.</w:t>
      </w:r>
      <w:r>
        <w:t>03</w:t>
      </w:r>
      <w:r w:rsidRPr="000964B2">
        <w:t>.20</w:t>
      </w:r>
      <w:r>
        <w:t>22</w:t>
      </w:r>
      <w:r w:rsidRPr="000964B2">
        <w:t xml:space="preserve"> года №</w:t>
      </w:r>
      <w:r>
        <w:t>120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10000,0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0,9</w:t>
      </w:r>
      <w:r w:rsidRPr="000964B2">
        <w:t>% от общего объема утвержденных расходов.</w:t>
      </w:r>
    </w:p>
    <w:p w14:paraId="71310EB5" w14:textId="755E4283" w:rsidR="00557868" w:rsidRDefault="00557868" w:rsidP="00557868">
      <w:pPr>
        <w:spacing w:line="360" w:lineRule="auto"/>
        <w:ind w:firstLine="567"/>
        <w:jc w:val="both"/>
      </w:pPr>
      <w:r w:rsidRPr="000964B2">
        <w:t xml:space="preserve">Средства резервного фонда </w:t>
      </w:r>
      <w:r>
        <w:t xml:space="preserve">за 1 </w:t>
      </w:r>
      <w:r w:rsidR="00176734">
        <w:t>полугодие</w:t>
      </w:r>
      <w:r>
        <w:t xml:space="preserve"> 2022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557868" w:rsidRPr="000F2815" w14:paraId="09517CE7" w14:textId="77777777" w:rsidTr="00D62A1A">
        <w:tc>
          <w:tcPr>
            <w:tcW w:w="842" w:type="dxa"/>
            <w:vMerge w:val="restart"/>
            <w:shd w:val="clear" w:color="auto" w:fill="F2B9A8" w:themeFill="accent6" w:themeFillTint="66"/>
          </w:tcPr>
          <w:p w14:paraId="020E39DB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76CE4306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61EE2D6C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557868" w:rsidRPr="000F2815" w14:paraId="7CAB04EA" w14:textId="77777777" w:rsidTr="00D62A1A">
        <w:tc>
          <w:tcPr>
            <w:tcW w:w="842" w:type="dxa"/>
            <w:vMerge/>
          </w:tcPr>
          <w:p w14:paraId="16315647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DC7A9A5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FC4268F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53083376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557868" w:rsidRPr="000F2815" w14:paraId="565B6986" w14:textId="77777777" w:rsidTr="00D62A1A">
        <w:tc>
          <w:tcPr>
            <w:tcW w:w="842" w:type="dxa"/>
          </w:tcPr>
          <w:p w14:paraId="47E8770C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3C2BF2E2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7D1194AD" w14:textId="3E05E371" w:rsidR="00557868" w:rsidRPr="000F2815" w:rsidRDefault="00557868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E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14:paraId="2681A31D" w14:textId="0F210276" w:rsidR="00557868" w:rsidRPr="00E04B81" w:rsidRDefault="00163E58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557868" w:rsidRPr="000F2815" w14:paraId="01714870" w14:textId="77777777" w:rsidTr="00D62A1A">
        <w:tc>
          <w:tcPr>
            <w:tcW w:w="842" w:type="dxa"/>
          </w:tcPr>
          <w:p w14:paraId="0BEC194B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7B92FD07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5101EAE1" w14:textId="2830F56C" w:rsidR="00557868" w:rsidRPr="00E04B81" w:rsidRDefault="00163E58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557868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14:paraId="519CA4F6" w14:textId="5381FA4C" w:rsidR="00557868" w:rsidRPr="00E04B81" w:rsidRDefault="00163E58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557868" w:rsidRPr="00E04B81" w14:paraId="05F89B82" w14:textId="77777777" w:rsidTr="00D62A1A">
        <w:tc>
          <w:tcPr>
            <w:tcW w:w="842" w:type="dxa"/>
            <w:shd w:val="clear" w:color="auto" w:fill="F2B9A8" w:themeFill="accent6" w:themeFillTint="66"/>
          </w:tcPr>
          <w:p w14:paraId="5D6FE9EE" w14:textId="77777777" w:rsidR="00557868" w:rsidRPr="000F2815" w:rsidRDefault="00557868" w:rsidP="00D62A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296E446D" w14:textId="77777777" w:rsidR="00557868" w:rsidRPr="000F2815" w:rsidRDefault="00557868" w:rsidP="00D62A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0643D1D5" w14:textId="7A618C52" w:rsidR="00557868" w:rsidRPr="00E04B81" w:rsidRDefault="00163E58" w:rsidP="00D62A1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1074,5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72D58FC0" w14:textId="1ABBA7E1" w:rsidR="00557868" w:rsidRPr="00E04B81" w:rsidRDefault="00557868" w:rsidP="00D62A1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63E58">
              <w:rPr>
                <w:b/>
                <w:sz w:val="24"/>
                <w:szCs w:val="24"/>
              </w:rPr>
              <w:t>,0</w:t>
            </w:r>
          </w:p>
        </w:tc>
      </w:tr>
    </w:tbl>
    <w:p w14:paraId="2D728D4A" w14:textId="77777777" w:rsidR="00557868" w:rsidRDefault="00557868" w:rsidP="00557868">
      <w:pPr>
        <w:spacing w:before="240" w:line="360" w:lineRule="auto"/>
        <w:ind w:firstLine="567"/>
        <w:jc w:val="both"/>
      </w:pPr>
      <w:r w:rsidRPr="00DD52AA">
        <w:t>В процессе исполнения бюджета в 20</w:t>
      </w:r>
      <w:r>
        <w:t xml:space="preserve">22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44E51868" w14:textId="500F6EA8" w:rsidR="00163E58" w:rsidRDefault="00163E58" w:rsidP="00163E58">
      <w:pPr>
        <w:spacing w:before="240" w:line="360" w:lineRule="auto"/>
        <w:ind w:firstLine="567"/>
        <w:jc w:val="both"/>
      </w:pPr>
      <w:r>
        <w:t>По состоянию</w:t>
      </w:r>
      <w:r w:rsidRPr="00B3232E">
        <w:t xml:space="preserve"> </w:t>
      </w:r>
      <w:r>
        <w:t>на 01.0</w:t>
      </w:r>
      <w:r w:rsidR="009064BE">
        <w:t>7</w:t>
      </w:r>
      <w:r>
        <w:t>.</w:t>
      </w:r>
      <w:r w:rsidRPr="000602B3">
        <w:t>20</w:t>
      </w:r>
      <w:r>
        <w:t>22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9064BE">
        <w:t>59337,9</w:t>
      </w:r>
      <w:r w:rsidRPr="000602B3">
        <w:t xml:space="preserve"> тыс. рублей</w:t>
      </w:r>
      <w:r>
        <w:t xml:space="preserve"> при планируемом дефиците </w:t>
      </w:r>
      <w:r w:rsidR="009064BE">
        <w:t>108060,7</w:t>
      </w:r>
      <w:r>
        <w:t xml:space="preserve"> тыс. рублей</w:t>
      </w:r>
      <w:r w:rsidRPr="000602B3">
        <w:t xml:space="preserve">. </w:t>
      </w:r>
    </w:p>
    <w:p w14:paraId="23E61F75" w14:textId="77777777" w:rsidR="00163E58" w:rsidRPr="000602B3" w:rsidRDefault="00163E58" w:rsidP="00163E58">
      <w:pPr>
        <w:spacing w:line="360" w:lineRule="auto"/>
        <w:ind w:firstLine="567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>
        <w:t>22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>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>
        <w:t>а также и</w:t>
      </w:r>
      <w:r w:rsidRPr="00493C91">
        <w:t xml:space="preserve">зменение остатков </w:t>
      </w:r>
      <w:r w:rsidRPr="00493C91">
        <w:lastRenderedPageBreak/>
        <w:t>средств на</w:t>
      </w:r>
      <w:r>
        <w:t xml:space="preserve"> </w:t>
      </w:r>
      <w:r w:rsidRPr="00493C91">
        <w:t>счетах по учету средств</w:t>
      </w:r>
      <w:r>
        <w:t xml:space="preserve"> </w:t>
      </w:r>
      <w:r w:rsidRPr="00493C91">
        <w:t>бюджетов</w:t>
      </w:r>
      <w:r>
        <w:t xml:space="preserve">, </w:t>
      </w:r>
      <w:r w:rsidRPr="000602B3">
        <w:t>что не противоречит Бюджетному законодательству.</w:t>
      </w:r>
    </w:p>
    <w:p w14:paraId="00CB9171" w14:textId="441BCEA0" w:rsidR="00F464BB" w:rsidRDefault="00F464BB" w:rsidP="00163E58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таблице:</w:t>
      </w:r>
      <w:r w:rsidRPr="000C1217">
        <w:rPr>
          <w:sz w:val="20"/>
          <w:szCs w:val="20"/>
        </w:rPr>
        <w:t xml:space="preserve"> </w:t>
      </w:r>
    </w:p>
    <w:p w14:paraId="1C975496" w14:textId="77777777" w:rsidR="00F464BB" w:rsidRDefault="00F464BB" w:rsidP="00F464BB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F464BB" w:rsidRPr="003729EC" w14:paraId="13E29448" w14:textId="77777777" w:rsidTr="00F464BB">
        <w:trPr>
          <w:trHeight w:val="11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7494C6FC" w14:textId="77777777" w:rsidR="00F464BB" w:rsidRPr="000C1217" w:rsidRDefault="00F464BB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B9A8" w:themeFill="accent6" w:themeFillTint="66"/>
          </w:tcPr>
          <w:p w14:paraId="0AA29FFF" w14:textId="610863E2" w:rsidR="00F464BB" w:rsidRPr="009618F6" w:rsidRDefault="00F464BB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E754AF">
              <w:rPr>
                <w:b/>
                <w:bCs/>
                <w:sz w:val="24"/>
                <w:szCs w:val="24"/>
              </w:rPr>
              <w:t>100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825">
              <w:rPr>
                <w:sz w:val="20"/>
                <w:szCs w:val="20"/>
              </w:rPr>
              <w:t xml:space="preserve">(в редакции от </w:t>
            </w:r>
            <w:r w:rsidR="00E754AF">
              <w:rPr>
                <w:sz w:val="20"/>
                <w:szCs w:val="20"/>
              </w:rPr>
              <w:t>26</w:t>
            </w:r>
            <w:r w:rsidRPr="00ED4825">
              <w:rPr>
                <w:sz w:val="20"/>
                <w:szCs w:val="20"/>
              </w:rPr>
              <w:t>.0</w:t>
            </w:r>
            <w:r w:rsidR="00E754AF">
              <w:rPr>
                <w:sz w:val="20"/>
                <w:szCs w:val="20"/>
              </w:rPr>
              <w:t>1</w:t>
            </w:r>
            <w:r w:rsidRPr="00ED4825">
              <w:rPr>
                <w:sz w:val="20"/>
                <w:szCs w:val="20"/>
              </w:rPr>
              <w:t>.2</w:t>
            </w:r>
            <w:r w:rsidR="00E754AF">
              <w:rPr>
                <w:sz w:val="20"/>
                <w:szCs w:val="20"/>
              </w:rPr>
              <w:t>2</w:t>
            </w:r>
            <w:r w:rsidRPr="00ED4825">
              <w:rPr>
                <w:sz w:val="20"/>
                <w:szCs w:val="20"/>
              </w:rPr>
              <w:t>г. №</w:t>
            </w:r>
            <w:r w:rsidR="00E754AF">
              <w:rPr>
                <w:sz w:val="20"/>
                <w:szCs w:val="20"/>
              </w:rPr>
              <w:t>112</w:t>
            </w:r>
            <w:r w:rsidRPr="00ED4825">
              <w:rPr>
                <w:sz w:val="20"/>
                <w:szCs w:val="20"/>
              </w:rPr>
              <w:t>-рс</w:t>
            </w:r>
            <w:r>
              <w:rPr>
                <w:sz w:val="20"/>
                <w:szCs w:val="20"/>
              </w:rPr>
              <w:t xml:space="preserve">, от </w:t>
            </w:r>
            <w:r w:rsidR="00E754A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.03.2</w:t>
            </w:r>
            <w:r w:rsidR="00E754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 №</w:t>
            </w:r>
            <w:r w:rsidR="00E754AF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-рс, от </w:t>
            </w:r>
            <w:r w:rsidR="00E754A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E754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  <w:r w:rsidR="00E754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 №</w:t>
            </w:r>
            <w:r w:rsidR="00E754AF">
              <w:rPr>
                <w:sz w:val="20"/>
                <w:szCs w:val="20"/>
              </w:rPr>
              <w:t>132-рс, от 17.05.22г. №144-рс</w:t>
            </w:r>
            <w:r w:rsidRPr="00ED4825">
              <w:rPr>
                <w:sz w:val="20"/>
                <w:szCs w:val="20"/>
              </w:rPr>
              <w:t>)</w:t>
            </w:r>
          </w:p>
        </w:tc>
      </w:tr>
      <w:tr w:rsidR="00F464BB" w:rsidRPr="000C1217" w14:paraId="7D44B232" w14:textId="77777777" w:rsidTr="00F464BB">
        <w:tc>
          <w:tcPr>
            <w:tcW w:w="7083" w:type="dxa"/>
          </w:tcPr>
          <w:p w14:paraId="5DDDCDCA" w14:textId="77777777" w:rsidR="00F464BB" w:rsidRPr="00C17693" w:rsidRDefault="00F464BB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212CABB5" w14:textId="4B481EC5" w:rsidR="00F464BB" w:rsidRPr="000C1217" w:rsidRDefault="00F464BB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754A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00,0</w:t>
            </w:r>
          </w:p>
        </w:tc>
      </w:tr>
      <w:tr w:rsidR="00F464BB" w:rsidRPr="000C1217" w14:paraId="278C5DF9" w14:textId="77777777" w:rsidTr="00F464BB">
        <w:tc>
          <w:tcPr>
            <w:tcW w:w="7083" w:type="dxa"/>
          </w:tcPr>
          <w:p w14:paraId="4F75316F" w14:textId="77777777" w:rsidR="00F464BB" w:rsidRPr="00C17693" w:rsidRDefault="00F464BB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DF6402C" w14:textId="1EBDC7D3" w:rsidR="00F464BB" w:rsidRPr="000C1217" w:rsidRDefault="00E754AF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464BB">
              <w:rPr>
                <w:bCs/>
                <w:sz w:val="24"/>
                <w:szCs w:val="24"/>
              </w:rPr>
              <w:t>00,0</w:t>
            </w:r>
          </w:p>
        </w:tc>
      </w:tr>
      <w:tr w:rsidR="00F464BB" w:rsidRPr="000C1217" w14:paraId="3D6A3AF6" w14:textId="77777777" w:rsidTr="00F464BB">
        <w:tc>
          <w:tcPr>
            <w:tcW w:w="7083" w:type="dxa"/>
          </w:tcPr>
          <w:p w14:paraId="4EFDE117" w14:textId="77777777" w:rsidR="00F464BB" w:rsidRPr="00C17693" w:rsidRDefault="00F464BB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CB0FBB4" w14:textId="4FE99F64" w:rsidR="00F464BB" w:rsidRPr="000C1217" w:rsidRDefault="00E754AF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108060,7</w:t>
            </w:r>
          </w:p>
        </w:tc>
      </w:tr>
      <w:tr w:rsidR="00F464BB" w:rsidRPr="008337D5" w14:paraId="523A2110" w14:textId="77777777" w:rsidTr="00F464BB">
        <w:trPr>
          <w:trHeight w:val="56"/>
        </w:trPr>
        <w:tc>
          <w:tcPr>
            <w:tcW w:w="7083" w:type="dxa"/>
            <w:shd w:val="clear" w:color="auto" w:fill="F2B9A8" w:themeFill="accent6" w:themeFillTint="66"/>
          </w:tcPr>
          <w:p w14:paraId="2F64D4D2" w14:textId="77777777" w:rsidR="00F464BB" w:rsidRPr="00C17693" w:rsidRDefault="00F464BB" w:rsidP="003658E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F2B9A8" w:themeFill="accent6" w:themeFillTint="66"/>
          </w:tcPr>
          <w:p w14:paraId="4A4553E1" w14:textId="32C1ADA1" w:rsidR="00F464BB" w:rsidRPr="008337D5" w:rsidRDefault="00E754AF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108060,7</w:t>
            </w:r>
          </w:p>
        </w:tc>
      </w:tr>
    </w:tbl>
    <w:p w14:paraId="46F6BC29" w14:textId="77777777" w:rsidR="009064BE" w:rsidRDefault="009064BE" w:rsidP="009064BE">
      <w:pPr>
        <w:spacing w:before="240" w:line="360" w:lineRule="auto"/>
        <w:ind w:firstLine="567"/>
        <w:jc w:val="both"/>
      </w:pPr>
      <w:r w:rsidRPr="000602B3">
        <w:t>Остаток средств на счёте районного бюджета по состоянию на 01.01.20</w:t>
      </w:r>
      <w:r>
        <w:t>22</w:t>
      </w:r>
      <w:r w:rsidRPr="000602B3">
        <w:t xml:space="preserve"> года составил </w:t>
      </w:r>
      <w:r>
        <w:t>245165,6</w:t>
      </w:r>
      <w:r w:rsidRPr="000602B3">
        <w:t xml:space="preserve"> тыс. рублей, а по состоянию на 01.</w:t>
      </w:r>
      <w:r>
        <w:t>07</w:t>
      </w:r>
      <w:r w:rsidRPr="000602B3">
        <w:t>.20</w:t>
      </w:r>
      <w:r>
        <w:t>22</w:t>
      </w:r>
      <w:r w:rsidRPr="000602B3">
        <w:t xml:space="preserve"> года – </w:t>
      </w:r>
      <w:r>
        <w:t>304103,5</w:t>
      </w:r>
      <w:r w:rsidRPr="000602B3">
        <w:t xml:space="preserve"> тыс. рублей, в том числе областные средства в сумме </w:t>
      </w:r>
      <w:r>
        <w:t>42316,5</w:t>
      </w:r>
      <w:r w:rsidRPr="00495714">
        <w:t xml:space="preserve"> </w:t>
      </w:r>
      <w:r w:rsidRPr="000602B3">
        <w:t xml:space="preserve">тыс. рублей. По сравнению с началом года остатки </w:t>
      </w:r>
      <w:r>
        <w:t>увеличились</w:t>
      </w:r>
      <w:r w:rsidRPr="000602B3">
        <w:t xml:space="preserve"> на </w:t>
      </w:r>
      <w:r>
        <w:t>58937,9</w:t>
      </w:r>
      <w:r w:rsidRPr="000602B3">
        <w:t xml:space="preserve"> тыс. рублей</w:t>
      </w:r>
      <w:r>
        <w:t xml:space="preserve"> или на 24,0%. </w:t>
      </w:r>
    </w:p>
    <w:p w14:paraId="24A51ED0" w14:textId="09FE923B" w:rsidR="003D1080" w:rsidRPr="00A41CEC" w:rsidRDefault="003D1080" w:rsidP="003D1080">
      <w:pPr>
        <w:spacing w:before="240"/>
        <w:jc w:val="center"/>
        <w:rPr>
          <w:b/>
        </w:rPr>
      </w:pPr>
      <w:r w:rsidRPr="00A41CEC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666C0C" w:rsidRPr="00A41CEC">
        <w:rPr>
          <w:b/>
          <w:sz w:val="32"/>
          <w:szCs w:val="32"/>
        </w:rPr>
        <w:t>ое</w:t>
      </w:r>
      <w:r w:rsidRPr="00A41CEC">
        <w:rPr>
          <w:b/>
          <w:sz w:val="32"/>
          <w:szCs w:val="32"/>
        </w:rPr>
        <w:t xml:space="preserve"> </w:t>
      </w:r>
      <w:r w:rsidR="00666C0C" w:rsidRPr="00A41CEC">
        <w:rPr>
          <w:b/>
          <w:sz w:val="32"/>
          <w:szCs w:val="32"/>
        </w:rPr>
        <w:t>полугодие</w:t>
      </w:r>
      <w:r w:rsidRPr="00A41CEC">
        <w:rPr>
          <w:b/>
          <w:sz w:val="32"/>
          <w:szCs w:val="32"/>
        </w:rPr>
        <w:t xml:space="preserve"> 20</w:t>
      </w:r>
      <w:r w:rsidR="000B4386" w:rsidRPr="00A41CEC">
        <w:rPr>
          <w:b/>
          <w:sz w:val="32"/>
          <w:szCs w:val="32"/>
        </w:rPr>
        <w:t>2</w:t>
      </w:r>
      <w:r w:rsidR="00523E0E" w:rsidRPr="00A41CEC">
        <w:rPr>
          <w:b/>
          <w:sz w:val="32"/>
          <w:szCs w:val="32"/>
        </w:rPr>
        <w:t>2</w:t>
      </w:r>
      <w:r w:rsidRPr="00A41CEC">
        <w:rPr>
          <w:b/>
          <w:sz w:val="32"/>
          <w:szCs w:val="32"/>
        </w:rPr>
        <w:t xml:space="preserve"> года</w:t>
      </w:r>
      <w:r w:rsidRPr="00A41CEC">
        <w:rPr>
          <w:b/>
        </w:rPr>
        <w:t>.</w:t>
      </w:r>
    </w:p>
    <w:p w14:paraId="1077AD8B" w14:textId="7507662E" w:rsidR="003D1080" w:rsidRDefault="003D1080" w:rsidP="00A41CEC">
      <w:pPr>
        <w:spacing w:before="240"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0C2EDC">
        <w:t>июля</w:t>
      </w:r>
      <w:r>
        <w:t xml:space="preserve"> 20</w:t>
      </w:r>
      <w:r w:rsidR="0089390D">
        <w:t>2</w:t>
      </w:r>
      <w:r w:rsidR="00523E0E">
        <w:t>2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A41CEC">
        <w:t>603621,6</w:t>
      </w:r>
      <w:r>
        <w:t xml:space="preserve"> тыс. рублей, что составляет </w:t>
      </w:r>
      <w:r w:rsidR="00A41CEC">
        <w:t>48,7</w:t>
      </w:r>
      <w:r>
        <w:t>% от утвержденного годового плана (</w:t>
      </w:r>
      <w:r w:rsidR="00A41CEC">
        <w:t>1240261,5</w:t>
      </w:r>
      <w:r>
        <w:t xml:space="preserve"> тыс. рублей).</w:t>
      </w:r>
    </w:p>
    <w:p w14:paraId="5A496744" w14:textId="5D944556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A41CEC">
        <w:t>542935,1</w:t>
      </w:r>
      <w:r>
        <w:t xml:space="preserve"> тыс. рублей или </w:t>
      </w:r>
      <w:r w:rsidR="00A41CEC">
        <w:t>39,9</w:t>
      </w:r>
      <w:r>
        <w:t>% от утвержденного годового плана (</w:t>
      </w:r>
      <w:r w:rsidR="00A41CEC">
        <w:t>1360005,4</w:t>
      </w:r>
      <w:r w:rsidR="000073B9">
        <w:t xml:space="preserve"> тыс. рублей).</w:t>
      </w:r>
    </w:p>
    <w:p w14:paraId="4D0B7744" w14:textId="6AA225AC"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A41CEC">
        <w:t>60686,5</w:t>
      </w:r>
      <w:r>
        <w:t xml:space="preserve"> тыс. рублей.</w:t>
      </w:r>
    </w:p>
    <w:p w14:paraId="1BA3F980" w14:textId="77777777" w:rsidR="000073B9" w:rsidRPr="005B743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5B743D">
        <w:rPr>
          <w:b/>
          <w:sz w:val="32"/>
          <w:szCs w:val="32"/>
        </w:rPr>
        <w:lastRenderedPageBreak/>
        <w:t>Доходы консолидированного бюджета.</w:t>
      </w:r>
    </w:p>
    <w:p w14:paraId="41E3E6FD" w14:textId="592151DE" w:rsidR="00A41CEC" w:rsidRDefault="00A41CEC" w:rsidP="00A41CEC">
      <w:pPr>
        <w:spacing w:line="360" w:lineRule="auto"/>
        <w:ind w:firstLine="567"/>
        <w:jc w:val="both"/>
        <w:rPr>
          <w:sz w:val="22"/>
          <w:szCs w:val="22"/>
        </w:rPr>
      </w:pPr>
      <w:r>
        <w:t>Исполнение доходной части консолидированного бюджета Добринского муниципального района за перв</w:t>
      </w:r>
      <w:r w:rsidR="006A3C58">
        <w:t>ое</w:t>
      </w:r>
      <w:r>
        <w:t xml:space="preserve"> </w:t>
      </w:r>
      <w:r w:rsidR="006A3C58">
        <w:t>полугодие</w:t>
      </w:r>
      <w:r>
        <w:t xml:space="preserve"> 2022 года отражено в таблице:                                                                                                     </w:t>
      </w:r>
      <w:r w:rsidR="006A3C58">
        <w:t xml:space="preserve">                          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A41CEC" w14:paraId="55C834C3" w14:textId="77777777" w:rsidTr="004F501D">
        <w:trPr>
          <w:trHeight w:val="3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14981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0DD2A6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  <w:p w14:paraId="32FE3AAF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2022 год</w:t>
            </w:r>
          </w:p>
          <w:p w14:paraId="7C56FCA6" w14:textId="5E1E281C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A8BC4E" w14:textId="7B1C1329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Фактическое исполнение на 01.0</w:t>
            </w:r>
            <w:r w:rsidR="006A3C58"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>.2022</w:t>
            </w:r>
          </w:p>
          <w:p w14:paraId="30275E0C" w14:textId="7F4CD1AD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4FC201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% исполнения к годовым назначениям 2022г.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5A1DEA" w14:textId="58DCC985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Фактическое исполнение на 01.0</w:t>
            </w:r>
            <w:r w:rsidR="006A3C58"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>.2021</w:t>
            </w:r>
          </w:p>
          <w:p w14:paraId="1BD2A3CA" w14:textId="373A860E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E246EF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 факта 2022г.к факту 2021г.</w:t>
            </w:r>
          </w:p>
        </w:tc>
      </w:tr>
      <w:tr w:rsidR="00A41CEC" w14:paraId="29582690" w14:textId="77777777" w:rsidTr="004F501D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9CF314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264918" w14:textId="31939CDD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485538,0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CED6E3" w14:textId="7E331E53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241805,0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16B302" w14:textId="3FDCC860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DE26D3" w14:textId="297A9F93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320021,6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8430FD" w14:textId="7DACD4A9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75,6</w:t>
            </w:r>
          </w:p>
        </w:tc>
      </w:tr>
      <w:tr w:rsidR="00A41CEC" w14:paraId="69A43394" w14:textId="77777777" w:rsidTr="006A3C58">
        <w:trPr>
          <w:trHeight w:val="3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CC352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прибыль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2121DD" w14:textId="5599806B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197612,7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1D1AA9" w14:textId="44BF1555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66454,4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94BD82" w14:textId="718DABAB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36DE4D" w14:textId="296A6948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166845,9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FADAAF" w14:textId="237E7849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39,8</w:t>
            </w:r>
          </w:p>
        </w:tc>
      </w:tr>
      <w:tr w:rsidR="00A41CEC" w14:paraId="1C42D168" w14:textId="77777777" w:rsidTr="006A3C58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5BA3F5" w14:textId="77777777" w:rsidR="00A41CEC" w:rsidRDefault="00A41C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по подакцизным товарам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ADDD1F" w14:textId="0144D7D3" w:rsidR="00A41CEC" w:rsidRDefault="006A3C5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50133,7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08D669" w14:textId="0A3599C9" w:rsidR="00A41CEC" w:rsidRDefault="006A3C5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27150,8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16666B" w14:textId="7E026345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63DC68" w14:textId="71EA39E8" w:rsidR="00A41CEC" w:rsidRDefault="006A3C58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19026,7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0B4AD7" w14:textId="793AF183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142,7</w:t>
            </w:r>
          </w:p>
        </w:tc>
      </w:tr>
      <w:tr w:rsidR="00A41CEC" w14:paraId="647B78B4" w14:textId="77777777" w:rsidTr="006A3C58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683834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41104A" w14:textId="1197E894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57250,0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1AA1DA" w14:textId="4F1BCACE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39127,3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C00029" w14:textId="696FD1C0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D3082D" w14:textId="783908F3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41392,8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ED73AC" w14:textId="3F34756F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94,5</w:t>
            </w:r>
          </w:p>
        </w:tc>
      </w:tr>
      <w:tr w:rsidR="00A41CEC" w14:paraId="319421F3" w14:textId="77777777" w:rsidTr="006A3C58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D28ED1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BDEAAC" w14:textId="61117084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31333,0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E0C757" w14:textId="1BF935B7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8704,1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4C1C03" w14:textId="7EC0BC37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DB7CE6" w14:textId="45990F26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9615,7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536D48" w14:textId="085E1DA8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90,5</w:t>
            </w:r>
          </w:p>
        </w:tc>
      </w:tr>
      <w:tr w:rsidR="00A41CEC" w14:paraId="2753E5F5" w14:textId="77777777" w:rsidTr="006A3C58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E722F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налоги, пошлины и сборы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366190" w14:textId="3F34EEB4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5698,0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498B62" w14:textId="41286F0B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2607,7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74FFAC" w14:textId="407696C2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8157DB" w14:textId="7EB17597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1917,3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143577" w14:textId="06191522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136,0</w:t>
            </w:r>
          </w:p>
        </w:tc>
      </w:tr>
      <w:tr w:rsidR="00A41CEC" w14:paraId="53F08C8A" w14:textId="77777777" w:rsidTr="004F501D">
        <w:trPr>
          <w:trHeight w:val="48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A9A5AB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457DC3" w14:textId="36D7E25C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143510,6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F6B094" w14:textId="08FBCE44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97760,7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E0F8A7" w14:textId="1E17FB2B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B0052B" w14:textId="51D793A1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81223,3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C32F0B" w14:textId="51CF477C" w:rsidR="00A41CEC" w:rsidRDefault="006A3C58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120,4</w:t>
            </w:r>
          </w:p>
        </w:tc>
      </w:tr>
      <w:tr w:rsidR="00A41CEC" w14:paraId="09D7856C" w14:textId="77777777" w:rsidTr="006A3C58">
        <w:trPr>
          <w:trHeight w:val="7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4C7847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AF1614" w14:textId="67710D5A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140737,9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EEF8BF" w14:textId="31F93CBE" w:rsidR="00A41CEC" w:rsidRDefault="006A3C58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88006,2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C99E6A" w14:textId="030175AB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CF18FC" w14:textId="0091F942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73548,4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FE322B" w14:textId="734BAC6F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119,7</w:t>
            </w:r>
          </w:p>
        </w:tc>
      </w:tr>
      <w:tr w:rsidR="00A41CEC" w14:paraId="3AE71AB5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2645F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57FF3C" w14:textId="02C09C75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1078,0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E77217" w14:textId="6AA4FEF3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1358,2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10DFA1" w14:textId="2381CEEE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600652" w14:textId="4F93A31C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DF41AC" w14:textId="2E4FCCA8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149,2</w:t>
            </w:r>
          </w:p>
        </w:tc>
      </w:tr>
      <w:tr w:rsidR="00A41CEC" w14:paraId="090ABFBF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F86692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83E08F" w14:textId="38CBFD78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4A888C" w14:textId="664A080D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3394,8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6517FB" w14:textId="356822A6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976,9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55F011" w14:textId="73D8CDBA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2596,8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E7ADFE" w14:textId="42E53238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130,7</w:t>
            </w:r>
          </w:p>
        </w:tc>
      </w:tr>
      <w:tr w:rsidR="00A41CEC" w14:paraId="6BC6BC3E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6AA706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968A91" w14:textId="6E7BBD9A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4E9A0C" w14:textId="28FDFF5F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4111,7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7868C5" w14:textId="47085208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1326,4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582010" w14:textId="7593E484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3424,4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D2DF21" w14:textId="055C4306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120,1</w:t>
            </w:r>
          </w:p>
        </w:tc>
      </w:tr>
      <w:tr w:rsidR="00A41CEC" w14:paraId="30F5FB92" w14:textId="77777777" w:rsidTr="006A3C58">
        <w:trPr>
          <w:trHeight w:val="5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308CC3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Штрафные санкции, возмещение ущерба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94E097" w14:textId="023CA039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78F331" w14:textId="243DE462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697,5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16A60C" w14:textId="24C73A2A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ECEEF3" w14:textId="0E90C0A5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97E340" w14:textId="0C7D99AD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111,5</w:t>
            </w:r>
          </w:p>
        </w:tc>
      </w:tr>
      <w:tr w:rsidR="00A41CEC" w14:paraId="358800BC" w14:textId="77777777" w:rsidTr="006A3C58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C0EA7A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F02D5F" w14:textId="45DCEBF9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099AAA" w14:textId="50F98BD1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192,3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7F16B0" w14:textId="074E5D1E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516,9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66136" w14:textId="37DFBEA9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1C3772" w14:textId="7726F188" w:rsidR="00A41CEC" w:rsidRDefault="009C2E25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163,7</w:t>
            </w:r>
          </w:p>
        </w:tc>
      </w:tr>
      <w:tr w:rsidR="00A41CEC" w14:paraId="2F3F18AC" w14:textId="77777777" w:rsidTr="004F501D">
        <w:trPr>
          <w:trHeight w:val="6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90EA7D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НАЛОГОВЫХ И НЕНАЛОГОВЫХ ДОХОДОВ: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808E1B" w14:textId="390A9FE6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485538,0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D893B4" w14:textId="4DB62AE3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241805,0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A71776" w14:textId="6EEBAD95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3BF71D" w14:textId="56F86427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320021,6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83E6EF" w14:textId="24875F31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75,6</w:t>
            </w:r>
          </w:p>
        </w:tc>
      </w:tr>
      <w:tr w:rsidR="00A41CEC" w14:paraId="1879BB22" w14:textId="77777777" w:rsidTr="004F501D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23AA7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Безвозмездные поступления -всего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B0ED0A" w14:textId="04DFA23A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754723,5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826057" w14:textId="03A20B5F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361816,6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B6BCEC" w14:textId="6E442BB3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7AA956" w14:textId="698D22A1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253265,1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BF2EF8" w14:textId="719DB2B5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142,9</w:t>
            </w:r>
          </w:p>
        </w:tc>
      </w:tr>
      <w:tr w:rsidR="00A41CEC" w14:paraId="5BC7FDC8" w14:textId="77777777" w:rsidTr="004F501D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CD56E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649AC7" w14:textId="6936EDC5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1240261,5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929884" w14:textId="6A3CE9AF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603621,6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F1B9BA" w14:textId="7C1D7927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6EC9C6" w14:textId="71038FA6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573286,7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3F630F" w14:textId="65D8C558" w:rsidR="00A41CEC" w:rsidRDefault="009C2E25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105,3</w:t>
            </w:r>
          </w:p>
        </w:tc>
      </w:tr>
    </w:tbl>
    <w:p w14:paraId="6F489FC2" w14:textId="241D5AFC" w:rsidR="005E0344" w:rsidRDefault="005E0344" w:rsidP="005E0344">
      <w:pPr>
        <w:spacing w:before="240" w:line="360" w:lineRule="auto"/>
        <w:ind w:firstLine="567"/>
        <w:jc w:val="both"/>
      </w:pPr>
      <w:r>
        <w:t xml:space="preserve">По итогам первого </w:t>
      </w:r>
      <w:r w:rsidR="00D9197B">
        <w:t>полугодия</w:t>
      </w:r>
      <w:r>
        <w:t xml:space="preserve"> 2022 года в консолидированный бюджет района поступило доходов, с учетом безвозмездных поступлений, в сумме </w:t>
      </w:r>
      <w:r w:rsidR="00D9197B">
        <w:t xml:space="preserve">603621,6 </w:t>
      </w:r>
      <w:r>
        <w:t xml:space="preserve">тыс. рублей. По сравнению с соответствующим периодом прошлого года поступления в доходную часть увеличилось на </w:t>
      </w:r>
      <w:r w:rsidR="00D9197B">
        <w:t>30334,9</w:t>
      </w:r>
      <w:r>
        <w:t xml:space="preserve"> тыс. рублей или на </w:t>
      </w:r>
      <w:r w:rsidR="00D9197B">
        <w:t>5</w:t>
      </w:r>
      <w:r>
        <w:t xml:space="preserve">,3%. </w:t>
      </w:r>
    </w:p>
    <w:p w14:paraId="5025B5E9" w14:textId="15B56619" w:rsidR="005E0344" w:rsidRDefault="005E0344" w:rsidP="005E0344">
      <w:pPr>
        <w:spacing w:line="360" w:lineRule="auto"/>
        <w:ind w:firstLine="567"/>
        <w:jc w:val="both"/>
      </w:pPr>
      <w:r>
        <w:t xml:space="preserve">Налоговые и неналоговые доходы консолидированного бюджета составили </w:t>
      </w:r>
      <w:r w:rsidR="00D9197B">
        <w:t>241805,0</w:t>
      </w:r>
      <w:r>
        <w:t xml:space="preserve"> тыс. рублей и занимают в общем объеме поступлений </w:t>
      </w:r>
      <w:r w:rsidR="00D9197B">
        <w:t>40,1</w:t>
      </w:r>
      <w:r>
        <w:t xml:space="preserve">%. По сравнению с соответствующим периодом прошлого года </w:t>
      </w:r>
      <w:r w:rsidR="00D9197B">
        <w:t xml:space="preserve">собственные </w:t>
      </w:r>
      <w:r>
        <w:t xml:space="preserve">поступления </w:t>
      </w:r>
      <w:r w:rsidR="00D9197B">
        <w:t>снизились</w:t>
      </w:r>
      <w:r>
        <w:t xml:space="preserve"> на </w:t>
      </w:r>
      <w:r w:rsidR="00D9197B">
        <w:t>24,4</w:t>
      </w:r>
      <w:r>
        <w:t xml:space="preserve">% или на сумму </w:t>
      </w:r>
      <w:r w:rsidR="00D9197B">
        <w:t>78216,6</w:t>
      </w:r>
      <w:r>
        <w:t xml:space="preserve"> тыс. рублей.</w:t>
      </w:r>
    </w:p>
    <w:p w14:paraId="51C07CCB" w14:textId="1ECE3D43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налоговых доходов консолидированного бюджета наибольший удельный вес занимает налог на доходы физических лиц (НДФЛ), его доля в поступлениях составила </w:t>
      </w:r>
      <w:r w:rsidR="00156E06">
        <w:t>46,1</w:t>
      </w:r>
      <w:r>
        <w:t xml:space="preserve">%. </w:t>
      </w:r>
    </w:p>
    <w:p w14:paraId="608046B8" w14:textId="07756937" w:rsidR="005E0344" w:rsidRDefault="005E0344" w:rsidP="005E0344">
      <w:pPr>
        <w:spacing w:line="360" w:lineRule="auto"/>
        <w:ind w:firstLine="567"/>
        <w:jc w:val="both"/>
      </w:pPr>
      <w:r>
        <w:t xml:space="preserve">План года по НДФЛ исполнен на </w:t>
      </w:r>
      <w:r w:rsidR="00156E06">
        <w:t>33,6</w:t>
      </w:r>
      <w:r>
        <w:t xml:space="preserve">% и поступил в сумме </w:t>
      </w:r>
      <w:r w:rsidR="00156E06">
        <w:t>66454,4</w:t>
      </w:r>
      <w:r>
        <w:t xml:space="preserve"> тыс. рублей. К уровню прошлого года поступления уменьшились на </w:t>
      </w:r>
      <w:r w:rsidR="00156E06">
        <w:t>100391,5</w:t>
      </w:r>
      <w:r>
        <w:t xml:space="preserve"> тыс. рублей, снижение составило </w:t>
      </w:r>
      <w:r w:rsidR="00156E06">
        <w:t>60,2</w:t>
      </w:r>
      <w:r>
        <w:t xml:space="preserve">%. </w:t>
      </w:r>
      <w:r w:rsidR="00156E06">
        <w:t>Основная причина снижения поступлений – это отсутствие поступлений НДФЛ</w:t>
      </w:r>
      <w:r w:rsidR="00E12D9E">
        <w:t xml:space="preserve"> с выплаченных дивидендов от ООО «Восход» в запланированном объеме, а также увеличение сумм возвратов по НДФЛ (возвращенные налоговые вычеты).</w:t>
      </w:r>
    </w:p>
    <w:p w14:paraId="3425EBEB" w14:textId="77777777" w:rsidR="005E0344" w:rsidRDefault="005E0344" w:rsidP="005E0344">
      <w:pPr>
        <w:spacing w:line="360" w:lineRule="auto"/>
        <w:ind w:firstLine="567"/>
        <w:jc w:val="both"/>
      </w:pPr>
      <w:r>
        <w:t xml:space="preserve">Основные плательщики по НДФЛ ООО «Восход», ОАО «Добринский сахарный завод», ООО Добрыня, ООО «Отрада </w:t>
      </w:r>
      <w:proofErr w:type="spellStart"/>
      <w:r>
        <w:t>Фармз</w:t>
      </w:r>
      <w:proofErr w:type="spellEnd"/>
      <w:r>
        <w:t xml:space="preserve">».  </w:t>
      </w:r>
    </w:p>
    <w:p w14:paraId="2DD85F81" w14:textId="6A6A3434" w:rsidR="005E0344" w:rsidRDefault="005E0344" w:rsidP="005E0344">
      <w:pPr>
        <w:spacing w:line="360" w:lineRule="auto"/>
        <w:ind w:firstLine="567"/>
        <w:jc w:val="both"/>
      </w:pPr>
      <w:r>
        <w:t>План года по акцизам на ГСМ на 01.0</w:t>
      </w:r>
      <w:r w:rsidR="00E12D9E">
        <w:t>7</w:t>
      </w:r>
      <w:r>
        <w:t xml:space="preserve">.2022 года исполнен на </w:t>
      </w:r>
      <w:r w:rsidR="00E12D9E">
        <w:t>54,2</w:t>
      </w:r>
      <w:r>
        <w:t xml:space="preserve">% и поступил в сумме </w:t>
      </w:r>
      <w:r w:rsidR="00E12D9E">
        <w:t>27150,8</w:t>
      </w:r>
      <w:r>
        <w:t xml:space="preserve"> тыс. рублей, к уровню прошлого года поступления увеличились на </w:t>
      </w:r>
      <w:r w:rsidR="00E12D9E">
        <w:t>8124,1</w:t>
      </w:r>
      <w:r>
        <w:t xml:space="preserve"> тыс. рублей или на 42,</w:t>
      </w:r>
      <w:r w:rsidR="00E12D9E">
        <w:t>7</w:t>
      </w:r>
      <w:r>
        <w:t>%.</w:t>
      </w:r>
    </w:p>
    <w:p w14:paraId="60D49621" w14:textId="0DC61BE8" w:rsidR="005E0344" w:rsidRDefault="005E0344" w:rsidP="005E0344">
      <w:pPr>
        <w:spacing w:line="360" w:lineRule="auto"/>
        <w:ind w:firstLine="567"/>
        <w:jc w:val="both"/>
      </w:pPr>
      <w:r>
        <w:t xml:space="preserve">Исполнение по налогам на совокупный доход составило к плану года </w:t>
      </w:r>
      <w:r w:rsidR="00E12D9E">
        <w:t>68,3</w:t>
      </w:r>
      <w:r>
        <w:t xml:space="preserve">% или </w:t>
      </w:r>
      <w:r w:rsidR="00E12D9E">
        <w:t>39127,3</w:t>
      </w:r>
      <w:r>
        <w:t xml:space="preserve"> тыс. рублей. К аналогичному уровню прошлого года поступления снизились на сумму </w:t>
      </w:r>
      <w:r w:rsidR="00E12D9E">
        <w:t>2265,5</w:t>
      </w:r>
      <w:r>
        <w:t xml:space="preserve"> тыс. рублей или </w:t>
      </w:r>
      <w:r w:rsidR="00E12D9E">
        <w:t>5,5</w:t>
      </w:r>
      <w:r>
        <w:t>% за счет уменьшения поступлений единого сельскохозяйственного налога на 21,</w:t>
      </w:r>
      <w:r w:rsidR="00E12D9E">
        <w:t>8</w:t>
      </w:r>
      <w:r>
        <w:t xml:space="preserve">% </w:t>
      </w:r>
      <w:r>
        <w:lastRenderedPageBreak/>
        <w:t xml:space="preserve">или на сумму </w:t>
      </w:r>
      <w:r w:rsidR="00E12D9E">
        <w:t>2589,0</w:t>
      </w:r>
      <w:r>
        <w:t xml:space="preserve"> тыс. рублей. Налоги на совокупный доход представлены двумя основными источниками:</w:t>
      </w:r>
    </w:p>
    <w:p w14:paraId="569047A7" w14:textId="52C58B90" w:rsidR="005E0344" w:rsidRDefault="005E0344" w:rsidP="005E0344">
      <w:pPr>
        <w:spacing w:line="360" w:lineRule="auto"/>
        <w:ind w:firstLine="567"/>
        <w:jc w:val="both"/>
      </w:pPr>
      <w:r>
        <w:t xml:space="preserve">-налог с применением упрощенной системы налогообложения – поступил в бюджет района в сумме </w:t>
      </w:r>
      <w:r w:rsidR="00E12D9E">
        <w:t>28412,5</w:t>
      </w:r>
      <w:r>
        <w:t xml:space="preserve"> тыс. рублей</w:t>
      </w:r>
      <w:r w:rsidR="00E12D9E">
        <w:t xml:space="preserve"> и</w:t>
      </w:r>
      <w:r w:rsidR="00933E48">
        <w:t>ли 75,2% от годовых назначений</w:t>
      </w:r>
      <w:r>
        <w:t>,</w:t>
      </w:r>
    </w:p>
    <w:p w14:paraId="7819BF6F" w14:textId="7CEFEC2F" w:rsidR="005E0344" w:rsidRDefault="005E0344" w:rsidP="005E0344">
      <w:pPr>
        <w:spacing w:line="360" w:lineRule="auto"/>
        <w:ind w:firstLine="567"/>
        <w:jc w:val="both"/>
      </w:pPr>
      <w:r>
        <w:t xml:space="preserve">-единый сельскохозяйственный налог – поступил в сумме </w:t>
      </w:r>
      <w:r w:rsidR="00933E48">
        <w:t>9280,2</w:t>
      </w:r>
      <w:r>
        <w:t xml:space="preserve"> тыс. рублей</w:t>
      </w:r>
      <w:r w:rsidR="00933E48">
        <w:t xml:space="preserve"> или 59,9% от годовых назначений</w:t>
      </w:r>
      <w:r>
        <w:t>.</w:t>
      </w:r>
    </w:p>
    <w:p w14:paraId="0ED20980" w14:textId="26A3DF82" w:rsidR="005E0344" w:rsidRDefault="005E0344" w:rsidP="005E0344">
      <w:pPr>
        <w:spacing w:line="360" w:lineRule="auto"/>
        <w:ind w:firstLine="567"/>
        <w:jc w:val="both"/>
      </w:pPr>
      <w:r>
        <w:t>По имущественным налогам исполнени</w:t>
      </w:r>
      <w:r w:rsidR="00933E48">
        <w:t>е</w:t>
      </w:r>
      <w:r>
        <w:t xml:space="preserve"> плана года составило </w:t>
      </w:r>
      <w:r w:rsidR="00933E48">
        <w:t>27,8</w:t>
      </w:r>
      <w:r>
        <w:t>%, из них:</w:t>
      </w:r>
    </w:p>
    <w:p w14:paraId="2AC336DD" w14:textId="32AC6709" w:rsidR="005E0344" w:rsidRDefault="005E0344" w:rsidP="005E0344">
      <w:pPr>
        <w:spacing w:line="360" w:lineRule="auto"/>
        <w:ind w:firstLine="567"/>
        <w:jc w:val="both"/>
      </w:pPr>
      <w:r>
        <w:t xml:space="preserve">-налог на имущество физических лиц поступил в сумме </w:t>
      </w:r>
      <w:r w:rsidR="00933E48">
        <w:t>519,7</w:t>
      </w:r>
      <w:r>
        <w:t xml:space="preserve"> тыс. рублей </w:t>
      </w:r>
      <w:r w:rsidR="00933E48">
        <w:t xml:space="preserve">или 14,0% от плана, </w:t>
      </w:r>
      <w:r>
        <w:t>с у</w:t>
      </w:r>
      <w:r w:rsidR="00933E48">
        <w:t>меньше</w:t>
      </w:r>
      <w:r>
        <w:t xml:space="preserve">нием к поступлениям прошлого года на </w:t>
      </w:r>
      <w:r w:rsidR="00933E48">
        <w:t>11,2</w:t>
      </w:r>
      <w:r>
        <w:t>%,</w:t>
      </w:r>
    </w:p>
    <w:p w14:paraId="1E1C7B14" w14:textId="3C255FB7" w:rsidR="005E0344" w:rsidRDefault="005E0344" w:rsidP="005E0344">
      <w:pPr>
        <w:spacing w:line="360" w:lineRule="auto"/>
        <w:ind w:firstLine="567"/>
        <w:jc w:val="both"/>
      </w:pPr>
      <w:r>
        <w:t xml:space="preserve">-земельный налог поступил в сумме </w:t>
      </w:r>
      <w:r w:rsidR="00933E48">
        <w:t>8184,4</w:t>
      </w:r>
      <w:r>
        <w:t xml:space="preserve"> тыс. рублей</w:t>
      </w:r>
      <w:r w:rsidR="00933E48">
        <w:t xml:space="preserve"> или 29,6% от плана</w:t>
      </w:r>
      <w:r>
        <w:t xml:space="preserve">, со снижением к прошлому году на </w:t>
      </w:r>
      <w:r w:rsidR="00933E48">
        <w:t>9,4</w:t>
      </w:r>
      <w:r>
        <w:t>%.</w:t>
      </w:r>
    </w:p>
    <w:p w14:paraId="00D5C953" w14:textId="256E7C32" w:rsidR="00933E48" w:rsidRDefault="00933E48" w:rsidP="005E0344">
      <w:pPr>
        <w:spacing w:line="360" w:lineRule="auto"/>
        <w:ind w:firstLine="567"/>
        <w:jc w:val="both"/>
      </w:pPr>
      <w:r>
        <w:t>Низкое поступление имущественных налогов обусловлено сроком уплаты местных налогов – 1 декабря 2022 года.</w:t>
      </w:r>
    </w:p>
    <w:p w14:paraId="45AA69FC" w14:textId="63992C91" w:rsidR="005E0344" w:rsidRDefault="005E0344" w:rsidP="005E0344">
      <w:pPr>
        <w:spacing w:line="360" w:lineRule="auto"/>
        <w:ind w:firstLine="567"/>
        <w:jc w:val="both"/>
        <w:rPr>
          <w:color w:val="DF5327" w:themeColor="accent6"/>
        </w:rPr>
      </w:pPr>
      <w:r>
        <w:t xml:space="preserve">Неналоговые доходы к плану года исполнены на </w:t>
      </w:r>
      <w:r w:rsidR="00933E48">
        <w:t>68,1</w:t>
      </w:r>
      <w:r>
        <w:t xml:space="preserve">%, поступление составило </w:t>
      </w:r>
      <w:r w:rsidR="00933E48">
        <w:t>97760,7</w:t>
      </w:r>
      <w:r>
        <w:t xml:space="preserve"> тыс. руб. По сравнению с соответствующим периодом 2021 года поступление неналоговых доходов выросло на </w:t>
      </w:r>
      <w:r w:rsidR="00933E48">
        <w:t>16537,5</w:t>
      </w:r>
      <w:r>
        <w:t xml:space="preserve"> тыс. рублей или на </w:t>
      </w:r>
      <w:r w:rsidR="00933E48">
        <w:t>20,4</w:t>
      </w:r>
      <w:r>
        <w:t xml:space="preserve">%. </w:t>
      </w:r>
    </w:p>
    <w:p w14:paraId="35B0B978" w14:textId="0897A91D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BD00D5">
        <w:t>90,0</w:t>
      </w:r>
      <w:r>
        <w:t xml:space="preserve">%, которые поступили в сумме </w:t>
      </w:r>
      <w:r w:rsidR="00BD00D5">
        <w:t>88006,2</w:t>
      </w:r>
      <w:r>
        <w:t xml:space="preserve"> тыс. рублей с ростом к прошлому отчетному периоду в сумме </w:t>
      </w:r>
      <w:r w:rsidR="00BD00D5">
        <w:t>14457,8</w:t>
      </w:r>
      <w:r>
        <w:t xml:space="preserve"> тыс. рублей или на </w:t>
      </w:r>
      <w:r w:rsidR="00BD00D5">
        <w:t>19,7</w:t>
      </w:r>
      <w:r>
        <w:t xml:space="preserve">%.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BD00D5">
        <w:t>83292,1</w:t>
      </w:r>
      <w:r>
        <w:t xml:space="preserve"> тыс. рублей.</w:t>
      </w:r>
    </w:p>
    <w:p w14:paraId="483DD679" w14:textId="77777777" w:rsidR="004F501D" w:rsidRPr="000D4F94" w:rsidRDefault="004F501D" w:rsidP="004F501D">
      <w:pPr>
        <w:spacing w:line="360" w:lineRule="auto"/>
        <w:ind w:firstLine="709"/>
        <w:jc w:val="both"/>
      </w:pPr>
      <w:r w:rsidRPr="000D4F94">
        <w:t>Фактические безвозмездные поступления за отчетный период текущего года в сравнении с первым полугодием 202</w:t>
      </w:r>
      <w:r>
        <w:t>1</w:t>
      </w:r>
      <w:r w:rsidRPr="000D4F94">
        <w:t xml:space="preserve"> года представлены в таблице:</w:t>
      </w:r>
    </w:p>
    <w:p w14:paraId="0759C62A" w14:textId="77777777" w:rsidR="004F501D" w:rsidRPr="00CC5EF5" w:rsidRDefault="004F501D" w:rsidP="004F501D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4F501D" w:rsidRPr="00BF37F0" w14:paraId="35E7C6A7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1A13E372" w14:textId="77777777" w:rsidR="004F501D" w:rsidRPr="00BF37F0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08094A02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2021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6768EE0A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2022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F80E221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E6FE66D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4F501D" w14:paraId="0787DB43" w14:textId="77777777" w:rsidTr="00C56C9A">
        <w:tc>
          <w:tcPr>
            <w:tcW w:w="3957" w:type="dxa"/>
            <w:shd w:val="clear" w:color="auto" w:fill="F8DCD3" w:themeFill="accent6" w:themeFillTint="33"/>
          </w:tcPr>
          <w:p w14:paraId="17BCD374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4208DA5D" w14:textId="3AC129A6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252839,1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68ADF7BA" w14:textId="7B5A7755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358145,9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75058185" w14:textId="638C2B36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+105306,8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F46BB2F" w14:textId="7D0118E0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4F501D" w14:paraId="79A28871" w14:textId="77777777" w:rsidTr="00C56C9A">
        <w:tc>
          <w:tcPr>
            <w:tcW w:w="3957" w:type="dxa"/>
          </w:tcPr>
          <w:p w14:paraId="01F33D16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6B7B1AC1" w14:textId="2FC44EDD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34474,3</w:t>
            </w:r>
          </w:p>
        </w:tc>
        <w:tc>
          <w:tcPr>
            <w:tcW w:w="1559" w:type="dxa"/>
          </w:tcPr>
          <w:p w14:paraId="6CBE4CEF" w14:textId="55A1157F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59932,7</w:t>
            </w:r>
          </w:p>
        </w:tc>
        <w:tc>
          <w:tcPr>
            <w:tcW w:w="1542" w:type="dxa"/>
          </w:tcPr>
          <w:p w14:paraId="5B9A501A" w14:textId="3954DFC6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+25458,4</w:t>
            </w:r>
          </w:p>
        </w:tc>
        <w:tc>
          <w:tcPr>
            <w:tcW w:w="876" w:type="dxa"/>
          </w:tcPr>
          <w:p w14:paraId="49FFE936" w14:textId="645DC364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</w:t>
            </w:r>
          </w:p>
        </w:tc>
      </w:tr>
      <w:tr w:rsidR="004F501D" w14:paraId="2F809470" w14:textId="77777777" w:rsidTr="00C56C9A">
        <w:tc>
          <w:tcPr>
            <w:tcW w:w="3957" w:type="dxa"/>
          </w:tcPr>
          <w:p w14:paraId="6B59505B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5C6CB642" w14:textId="70FF3D6C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12487,1</w:t>
            </w:r>
          </w:p>
        </w:tc>
        <w:tc>
          <w:tcPr>
            <w:tcW w:w="1559" w:type="dxa"/>
          </w:tcPr>
          <w:p w14:paraId="5198DDEA" w14:textId="217D904A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65570,8</w:t>
            </w:r>
          </w:p>
        </w:tc>
        <w:tc>
          <w:tcPr>
            <w:tcW w:w="1542" w:type="dxa"/>
          </w:tcPr>
          <w:p w14:paraId="70862EF9" w14:textId="7D9C7E06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+53083,7</w:t>
            </w:r>
          </w:p>
        </w:tc>
        <w:tc>
          <w:tcPr>
            <w:tcW w:w="876" w:type="dxa"/>
          </w:tcPr>
          <w:p w14:paraId="66C505E8" w14:textId="3B2404E0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525,1</w:t>
            </w:r>
          </w:p>
        </w:tc>
      </w:tr>
      <w:tr w:rsidR="004F501D" w14:paraId="78B29948" w14:textId="77777777" w:rsidTr="00C56C9A">
        <w:tc>
          <w:tcPr>
            <w:tcW w:w="3957" w:type="dxa"/>
          </w:tcPr>
          <w:p w14:paraId="72CB4987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BD0ACC3" w14:textId="74D54587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194112,3</w:t>
            </w:r>
          </w:p>
        </w:tc>
        <w:tc>
          <w:tcPr>
            <w:tcW w:w="1559" w:type="dxa"/>
          </w:tcPr>
          <w:p w14:paraId="0F80A443" w14:textId="0FA3F96D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223929,7</w:t>
            </w:r>
          </w:p>
        </w:tc>
        <w:tc>
          <w:tcPr>
            <w:tcW w:w="1542" w:type="dxa"/>
          </w:tcPr>
          <w:p w14:paraId="552A55B6" w14:textId="64ED7BF0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+29817,4</w:t>
            </w:r>
          </w:p>
        </w:tc>
        <w:tc>
          <w:tcPr>
            <w:tcW w:w="876" w:type="dxa"/>
          </w:tcPr>
          <w:p w14:paraId="542709DF" w14:textId="7DA27D46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  <w:tr w:rsidR="004F501D" w14:paraId="69848EA1" w14:textId="77777777" w:rsidTr="00C56C9A">
        <w:tc>
          <w:tcPr>
            <w:tcW w:w="3957" w:type="dxa"/>
          </w:tcPr>
          <w:p w14:paraId="76AF6739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4217F084" w14:textId="35F6BC1E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11765,4</w:t>
            </w:r>
          </w:p>
        </w:tc>
        <w:tc>
          <w:tcPr>
            <w:tcW w:w="1559" w:type="dxa"/>
          </w:tcPr>
          <w:p w14:paraId="2B72C6B4" w14:textId="25A592AB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8712,7</w:t>
            </w:r>
          </w:p>
        </w:tc>
        <w:tc>
          <w:tcPr>
            <w:tcW w:w="1542" w:type="dxa"/>
          </w:tcPr>
          <w:p w14:paraId="6D3DBD8E" w14:textId="25D4C390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-3052,7</w:t>
            </w:r>
          </w:p>
        </w:tc>
        <w:tc>
          <w:tcPr>
            <w:tcW w:w="876" w:type="dxa"/>
          </w:tcPr>
          <w:p w14:paraId="749DEC71" w14:textId="4492FDB1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4F501D" w14:paraId="29211980" w14:textId="77777777" w:rsidTr="00C56C9A">
        <w:tc>
          <w:tcPr>
            <w:tcW w:w="3957" w:type="dxa"/>
            <w:shd w:val="clear" w:color="auto" w:fill="F8DCD3" w:themeFill="accent6" w:themeFillTint="33"/>
          </w:tcPr>
          <w:p w14:paraId="1D609FC4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1EDDDD8C" w14:textId="5AAC7369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1418,5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4089184E" w14:textId="1C02E340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3694,1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6763702" w14:textId="0773DC7A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+2275,6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0293D4A" w14:textId="12AEFC73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4F501D" w14:paraId="736C3B40" w14:textId="77777777" w:rsidTr="00C56C9A">
        <w:tc>
          <w:tcPr>
            <w:tcW w:w="3957" w:type="dxa"/>
          </w:tcPr>
          <w:p w14:paraId="75DC0044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567" w:type="dxa"/>
          </w:tcPr>
          <w:p w14:paraId="14031675" w14:textId="7E172271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58153C1" w14:textId="52D9309D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5D76F75E" w14:textId="5E17849E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37FCAC56" w14:textId="47478E1F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01D" w14:paraId="3BA94725" w14:textId="77777777" w:rsidTr="00C56C9A">
        <w:tc>
          <w:tcPr>
            <w:tcW w:w="3957" w:type="dxa"/>
          </w:tcPr>
          <w:p w14:paraId="1A2A088E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996DE44" w14:textId="28831F11" w:rsidR="004F501D" w:rsidRDefault="004F501D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-992,5</w:t>
            </w:r>
          </w:p>
        </w:tc>
        <w:tc>
          <w:tcPr>
            <w:tcW w:w="1559" w:type="dxa"/>
          </w:tcPr>
          <w:p w14:paraId="0BD9B6C4" w14:textId="778A6BF8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42" w:type="dxa"/>
          </w:tcPr>
          <w:p w14:paraId="3A452B6F" w14:textId="010DC821" w:rsidR="004F501D" w:rsidRDefault="00F22B77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+969,1</w:t>
            </w:r>
          </w:p>
        </w:tc>
        <w:tc>
          <w:tcPr>
            <w:tcW w:w="876" w:type="dxa"/>
          </w:tcPr>
          <w:p w14:paraId="0AA01DF0" w14:textId="699236D7" w:rsidR="004F501D" w:rsidRDefault="00FD01EA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-97,6</w:t>
            </w:r>
          </w:p>
        </w:tc>
      </w:tr>
      <w:tr w:rsidR="004F501D" w:rsidRPr="00BF37F0" w14:paraId="49B85C01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681B30CE" w14:textId="77777777" w:rsidR="004F501D" w:rsidRPr="00BF37F0" w:rsidRDefault="004F501D" w:rsidP="00C56C9A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62C2AEB" w14:textId="468829B5" w:rsidR="004F501D" w:rsidRPr="00BF37F0" w:rsidRDefault="004F501D" w:rsidP="00C56C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253265,1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77782A4" w14:textId="662E32AC" w:rsidR="004F501D" w:rsidRPr="00987A91" w:rsidRDefault="00F22B77" w:rsidP="00C56C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361816,6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5EDB9E6D" w14:textId="2D5EA6A7" w:rsidR="004F501D" w:rsidRPr="00987A91" w:rsidRDefault="00FD01EA" w:rsidP="00C56C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+108551,5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A599510" w14:textId="614B83AB" w:rsidR="004F501D" w:rsidRPr="00987A91" w:rsidRDefault="00FD01EA" w:rsidP="00C56C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142,9</w:t>
            </w:r>
          </w:p>
        </w:tc>
      </w:tr>
    </w:tbl>
    <w:p w14:paraId="40AE805C" w14:textId="2726EC86" w:rsidR="004F501D" w:rsidRPr="0055496D" w:rsidRDefault="004F501D" w:rsidP="004F501D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>
        <w:t>полугодием</w:t>
      </w:r>
      <w:r w:rsidRPr="0055496D">
        <w:t xml:space="preserve"> 20</w:t>
      </w:r>
      <w:r>
        <w:t>21</w:t>
      </w:r>
      <w:r w:rsidRPr="0055496D">
        <w:t xml:space="preserve"> года объем безвозмездных поступлений </w:t>
      </w:r>
      <w:r>
        <w:t>увеличился</w:t>
      </w:r>
      <w:r w:rsidRPr="0055496D">
        <w:t xml:space="preserve"> на </w:t>
      </w:r>
      <w:r w:rsidR="00FD01EA">
        <w:t>108551,5</w:t>
      </w:r>
      <w:r w:rsidRPr="0055496D">
        <w:t xml:space="preserve"> тыс. рублей</w:t>
      </w:r>
      <w:r>
        <w:t xml:space="preserve"> или на </w:t>
      </w:r>
      <w:r w:rsidR="00FD01EA">
        <w:t>42,9</w:t>
      </w:r>
      <w:r>
        <w:t>%</w:t>
      </w:r>
      <w:r w:rsidRPr="0055496D">
        <w:t xml:space="preserve"> и составил </w:t>
      </w:r>
      <w:r w:rsidR="00FD01EA">
        <w:t>361816,6</w:t>
      </w:r>
      <w:r w:rsidRPr="0055496D">
        <w:t xml:space="preserve"> тыс. рублей.</w:t>
      </w:r>
    </w:p>
    <w:p w14:paraId="57C81106" w14:textId="4EAA2F20" w:rsidR="005E0344" w:rsidRDefault="005E0344" w:rsidP="005E0344">
      <w:pPr>
        <w:spacing w:before="240" w:line="360" w:lineRule="auto"/>
        <w:ind w:firstLine="567"/>
        <w:jc w:val="both"/>
      </w:pPr>
      <w:r>
        <w:t xml:space="preserve">Бюджеты сельских поселений по доходам исполнены в сумме </w:t>
      </w:r>
      <w:r w:rsidR="00E87548">
        <w:t>101334,4</w:t>
      </w:r>
      <w:r>
        <w:t xml:space="preserve"> тыс. рублей или на </w:t>
      </w:r>
      <w:r w:rsidR="00E87548">
        <w:t>46,2</w:t>
      </w:r>
      <w:r>
        <w:t>%.</w:t>
      </w:r>
    </w:p>
    <w:p w14:paraId="31420A9E" w14:textId="420C7E05" w:rsidR="005E0344" w:rsidRDefault="005E0344" w:rsidP="005E0344">
      <w:pPr>
        <w:spacing w:line="360" w:lineRule="auto"/>
        <w:ind w:firstLine="567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E87548">
        <w:t>103696,9</w:t>
      </w:r>
      <w:r>
        <w:t xml:space="preserve"> тыс. рублей, за 1</w:t>
      </w:r>
      <w:r w:rsidR="00E87548">
        <w:t>-е</w:t>
      </w:r>
      <w:r>
        <w:t xml:space="preserve"> </w:t>
      </w:r>
      <w:r w:rsidR="00E87548">
        <w:t>полугодие</w:t>
      </w:r>
      <w:r>
        <w:t xml:space="preserve"> 2022 года фактически поступило в бюджеты </w:t>
      </w:r>
      <w:r w:rsidR="00E87548">
        <w:t>53661,7</w:t>
      </w:r>
      <w:r>
        <w:t xml:space="preserve"> тыс. рублей или </w:t>
      </w:r>
      <w:r w:rsidR="00E87548">
        <w:t>51,7</w:t>
      </w:r>
      <w:r>
        <w:t xml:space="preserve">%, безвозмездных поступлений – </w:t>
      </w:r>
      <w:r w:rsidR="00E87548">
        <w:t>47672,7</w:t>
      </w:r>
      <w:r>
        <w:t xml:space="preserve"> тыс. рублей (при плане </w:t>
      </w:r>
      <w:r w:rsidR="00E87548">
        <w:t>115476,8</w:t>
      </w:r>
      <w:r>
        <w:t xml:space="preserve"> тыс. рублей) или </w:t>
      </w:r>
      <w:r w:rsidR="00E87548">
        <w:t>41</w:t>
      </w:r>
      <w:r>
        <w:t>,3%.</w:t>
      </w:r>
    </w:p>
    <w:p w14:paraId="4D9E1767" w14:textId="47659373" w:rsidR="005E0344" w:rsidRDefault="005E0344" w:rsidP="005E0344">
      <w:pPr>
        <w:spacing w:line="360" w:lineRule="auto"/>
        <w:ind w:firstLine="567"/>
        <w:jc w:val="both"/>
      </w:pPr>
      <w:r>
        <w:t>Изменение доходных источников по бюджетам сельских поселений представлено на гистограмме:</w:t>
      </w:r>
    </w:p>
    <w:p w14:paraId="1ED66EAF" w14:textId="56F61B44" w:rsidR="008F101A" w:rsidRPr="00C768CC" w:rsidRDefault="008F101A" w:rsidP="005E0344">
      <w:pPr>
        <w:spacing w:line="360" w:lineRule="auto"/>
        <w:ind w:firstLine="567"/>
        <w:jc w:val="both"/>
      </w:pPr>
      <w:r w:rsidRPr="00C768CC">
        <w:rPr>
          <w:noProof/>
        </w:rPr>
        <w:drawing>
          <wp:inline distT="0" distB="0" distL="0" distR="0" wp14:anchorId="3A80D4F9" wp14:editId="36E5D60E">
            <wp:extent cx="5486400" cy="2462400"/>
            <wp:effectExtent l="0" t="0" r="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27539F" w14:textId="5DAEC5F5" w:rsidR="00B21C56" w:rsidRPr="00741CD5" w:rsidRDefault="00B21C56" w:rsidP="000073B9">
      <w:pPr>
        <w:spacing w:line="360" w:lineRule="auto"/>
        <w:ind w:firstLine="709"/>
        <w:jc w:val="both"/>
      </w:pPr>
      <w:r w:rsidRPr="00741CD5">
        <w:lastRenderedPageBreak/>
        <w:t xml:space="preserve">Наиболее высокие проценты выполнения </w:t>
      </w:r>
      <w:r w:rsidR="005E2F56" w:rsidRPr="00741CD5">
        <w:t xml:space="preserve">к </w:t>
      </w:r>
      <w:r w:rsidRPr="00741CD5">
        <w:t>годово</w:t>
      </w:r>
      <w:r w:rsidR="005E2F56" w:rsidRPr="00741CD5">
        <w:t>му</w:t>
      </w:r>
      <w:r w:rsidRPr="00741CD5">
        <w:t xml:space="preserve"> план</w:t>
      </w:r>
      <w:r w:rsidR="005E2F56" w:rsidRPr="00741CD5">
        <w:t>у</w:t>
      </w:r>
      <w:r w:rsidRPr="00741CD5">
        <w:t xml:space="preserve"> по поступлению налоговых и неналоговых доходов</w:t>
      </w:r>
      <w:r w:rsidR="003F40D1" w:rsidRPr="00741CD5">
        <w:t>, более 50%,</w:t>
      </w:r>
      <w:r w:rsidRPr="00741CD5">
        <w:t xml:space="preserve"> отмечаются в </w:t>
      </w:r>
      <w:r w:rsidR="008C02AA" w:rsidRPr="00741CD5">
        <w:t>сельских поселениях:</w:t>
      </w:r>
    </w:p>
    <w:p w14:paraId="39E27E1E" w14:textId="737480F7" w:rsidR="00741CD5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Березнеговатский сельсовет – </w:t>
      </w:r>
      <w:r>
        <w:t>77,9</w:t>
      </w:r>
      <w:r>
        <w:t>%</w:t>
      </w:r>
    </w:p>
    <w:p w14:paraId="10AF6632" w14:textId="5010D16A" w:rsidR="00741CD5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Дубовской сельсовет – </w:t>
      </w:r>
      <w:r>
        <w:t>70,2</w:t>
      </w:r>
      <w:r>
        <w:t>%</w:t>
      </w:r>
    </w:p>
    <w:p w14:paraId="5C019567" w14:textId="55C055DF" w:rsidR="00741CD5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>Добринский сельсовет – 66,6%</w:t>
      </w:r>
    </w:p>
    <w:p w14:paraId="4EAB2A7F" w14:textId="61892F7C" w:rsidR="00741CD5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</w:t>
      </w:r>
      <w:r w:rsidRPr="007B3823">
        <w:t xml:space="preserve"> сельсовет – </w:t>
      </w:r>
      <w:r>
        <w:t>66,6</w:t>
      </w:r>
      <w:r w:rsidRPr="007B3823">
        <w:t>%</w:t>
      </w:r>
    </w:p>
    <w:p w14:paraId="769DF8AA" w14:textId="6E75F66C" w:rsidR="00741CD5" w:rsidRPr="007B3823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Демшинский сельсовет – </w:t>
      </w:r>
      <w:r>
        <w:t>59,8</w:t>
      </w:r>
      <w:r>
        <w:t>%</w:t>
      </w:r>
    </w:p>
    <w:p w14:paraId="66EF9DD5" w14:textId="70B8F68C" w:rsidR="00741CD5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>Нижнематренский сельсовет – 59,8%</w:t>
      </w:r>
    </w:p>
    <w:p w14:paraId="299A702E" w14:textId="665088FD" w:rsidR="00741CD5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Хворостянский сельсовет – </w:t>
      </w:r>
      <w:r>
        <w:t>56,1</w:t>
      </w:r>
      <w:r>
        <w:t>%</w:t>
      </w:r>
    </w:p>
    <w:p w14:paraId="02D74A15" w14:textId="49D49C3D" w:rsidR="00741CD5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>Тихвинский сельсовет – 53,7%</w:t>
      </w:r>
    </w:p>
    <w:p w14:paraId="7C7AAB1F" w14:textId="6EB4864D" w:rsidR="00741CD5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Дуровский сельсовет </w:t>
      </w:r>
      <w:r w:rsidR="002C5BC0">
        <w:t>–</w:t>
      </w:r>
      <w:r>
        <w:t xml:space="preserve"> </w:t>
      </w:r>
      <w:r w:rsidR="002C5BC0">
        <w:t>52,5%.</w:t>
      </w:r>
    </w:p>
    <w:p w14:paraId="18F39C12" w14:textId="77777777" w:rsidR="00016494" w:rsidRPr="00DD4A66" w:rsidRDefault="00016494" w:rsidP="00016494">
      <w:pPr>
        <w:spacing w:line="360" w:lineRule="auto"/>
        <w:ind w:firstLine="709"/>
        <w:jc w:val="both"/>
      </w:pPr>
      <w:r w:rsidRPr="00DD4A66">
        <w:t>Наиболее низкий процент выполнения плана наблюдается в следующих сельских поселениях:</w:t>
      </w:r>
    </w:p>
    <w:p w14:paraId="446CC4C9" w14:textId="360DD894" w:rsidR="002C5BC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>Каверинский сельсовет -</w:t>
      </w:r>
      <w:r>
        <w:t>22,2</w:t>
      </w:r>
      <w:r>
        <w:t>%</w:t>
      </w:r>
    </w:p>
    <w:p w14:paraId="571A2CA0" w14:textId="2339FE2E" w:rsidR="002C5BC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Новочеркутинский</w:t>
      </w:r>
      <w:proofErr w:type="spellEnd"/>
      <w:r>
        <w:t xml:space="preserve"> сельсовет – </w:t>
      </w:r>
      <w:r>
        <w:t>25,6</w:t>
      </w:r>
      <w:r>
        <w:t>%</w:t>
      </w:r>
    </w:p>
    <w:p w14:paraId="222EE519" w14:textId="59F83D19" w:rsidR="002C5BC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Мазейский сельсовет – </w:t>
      </w:r>
      <w:r>
        <w:t>26,6</w:t>
      </w:r>
      <w:r>
        <w:t>%</w:t>
      </w:r>
    </w:p>
    <w:p w14:paraId="2D864095" w14:textId="1035530D" w:rsidR="0078074D" w:rsidRPr="007B3823" w:rsidRDefault="002C5BC0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 сельсовет – 36,4%</w:t>
      </w:r>
      <w:r w:rsidR="00016494">
        <w:t>.</w:t>
      </w:r>
    </w:p>
    <w:p w14:paraId="7DF1BFC2" w14:textId="77777777" w:rsidR="00323734" w:rsidRDefault="00323734" w:rsidP="00323734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47B1C1EA" w:rsidR="001A49F9" w:rsidRPr="00EA7603" w:rsidRDefault="001A49F9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</w:t>
                            </w:r>
                            <w:r w:rsidRPr="002C5BC0">
                              <w:rPr>
                                <w:sz w:val="16"/>
                                <w:szCs w:val="16"/>
                              </w:rPr>
                              <w:t>показатель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BC0">
                              <w:rPr>
                                <w:sz w:val="16"/>
                                <w:szCs w:val="16"/>
                              </w:rPr>
                              <w:t>50,8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" filled="f" stroked="f" strokeweight=".5pt">
                <v:textbox>
                  <w:txbxContent>
                    <w:p w14:paraId="36652EC5" w14:textId="47B1C1EA" w:rsidR="001A49F9" w:rsidRPr="00EA7603" w:rsidRDefault="001A49F9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</w:t>
                      </w:r>
                      <w:r w:rsidRPr="002C5BC0">
                        <w:rPr>
                          <w:sz w:val="16"/>
                          <w:szCs w:val="16"/>
                        </w:rPr>
                        <w:t>показатель</w:t>
                      </w:r>
                      <w:r w:rsidRPr="00EA760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5BC0">
                        <w:rPr>
                          <w:sz w:val="16"/>
                          <w:szCs w:val="16"/>
                        </w:rPr>
                        <w:t>50,8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7C5D4750">
            <wp:extent cx="5925185" cy="3045600"/>
            <wp:effectExtent l="0" t="0" r="1841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F96C10" w14:textId="77777777" w:rsidR="003D1080" w:rsidRPr="009713FE" w:rsidRDefault="007C3BFD" w:rsidP="003E786C">
      <w:pPr>
        <w:spacing w:before="240"/>
        <w:jc w:val="center"/>
        <w:rPr>
          <w:b/>
          <w:sz w:val="32"/>
          <w:szCs w:val="32"/>
        </w:rPr>
      </w:pPr>
      <w:r w:rsidRPr="009713FE">
        <w:rPr>
          <w:b/>
          <w:sz w:val="32"/>
          <w:szCs w:val="32"/>
        </w:rPr>
        <w:lastRenderedPageBreak/>
        <w:t>Расходы консолидированного бюджета Добринского муниципального района.</w:t>
      </w:r>
    </w:p>
    <w:p w14:paraId="4BB349C0" w14:textId="6ABDC87E"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1D691A">
        <w:t>ое</w:t>
      </w:r>
      <w:r>
        <w:t xml:space="preserve"> </w:t>
      </w:r>
      <w:r w:rsidR="001D691A">
        <w:t>полугодие</w:t>
      </w:r>
      <w:r>
        <w:t xml:space="preserve"> 20</w:t>
      </w:r>
      <w:r w:rsidR="00323734">
        <w:t>2</w:t>
      </w:r>
      <w:r w:rsidR="009713FE">
        <w:t>2</w:t>
      </w:r>
      <w:r>
        <w:t xml:space="preserve"> года расходы консолидированного бюджета исполнены в сумме </w:t>
      </w:r>
      <w:r w:rsidR="009713FE">
        <w:t>542935,2</w:t>
      </w:r>
      <w:r>
        <w:t xml:space="preserve"> тыс. рублей или на </w:t>
      </w:r>
      <w:r w:rsidR="009713FE">
        <w:t>39,9</w:t>
      </w:r>
      <w:r>
        <w:t>% от годового плана.</w:t>
      </w:r>
    </w:p>
    <w:p w14:paraId="24E8E8B2" w14:textId="66455D6A" w:rsidR="00742A75" w:rsidRDefault="00742A75" w:rsidP="000C761E">
      <w:pPr>
        <w:spacing w:line="360" w:lineRule="auto"/>
        <w:ind w:firstLine="709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>
        <w:t xml:space="preserve">по разделам функциональной классификации в 1 </w:t>
      </w:r>
      <w:r w:rsidR="000C761E">
        <w:t>полугодии</w:t>
      </w:r>
      <w:r>
        <w:t xml:space="preserve"> </w:t>
      </w:r>
      <w:r w:rsidRPr="00A13A7C">
        <w:t>20</w:t>
      </w:r>
      <w:r>
        <w:t>2</w:t>
      </w:r>
      <w:r w:rsidR="009713FE">
        <w:t>2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1633B076" w14:textId="77777777" w:rsidR="00742A75" w:rsidRPr="000C4507" w:rsidRDefault="00742A75" w:rsidP="00742A75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</w:t>
      </w:r>
      <w:proofErr w:type="spellStart"/>
      <w:r w:rsidRPr="000C4507">
        <w:rPr>
          <w:sz w:val="24"/>
          <w:szCs w:val="24"/>
        </w:rPr>
        <w:t>тыс.руб</w:t>
      </w:r>
      <w:proofErr w:type="spellEnd"/>
      <w:r w:rsidRPr="000C4507">
        <w:rPr>
          <w:sz w:val="24"/>
          <w:szCs w:val="24"/>
        </w:rPr>
        <w:t>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742A75" w:rsidRPr="000C4507" w14:paraId="382F04E8" w14:textId="77777777" w:rsidTr="00742A75">
        <w:trPr>
          <w:trHeight w:val="501"/>
        </w:trPr>
        <w:tc>
          <w:tcPr>
            <w:tcW w:w="851" w:type="dxa"/>
            <w:shd w:val="clear" w:color="auto" w:fill="F2B9A8" w:themeFill="accent6" w:themeFillTint="66"/>
          </w:tcPr>
          <w:p w14:paraId="58055065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2B9A8" w:themeFill="accent6" w:themeFillTint="66"/>
          </w:tcPr>
          <w:p w14:paraId="5EEA0F00" w14:textId="77777777" w:rsidR="00742A75" w:rsidRPr="000C4507" w:rsidRDefault="00742A75" w:rsidP="003658E6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544E6ACF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5F64720C" w14:textId="1F044853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01.07.202</w:t>
            </w:r>
            <w:r w:rsidR="009713F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2B7810F3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42A75" w:rsidRPr="000C4507" w14:paraId="317EA03A" w14:textId="77777777" w:rsidTr="003658E6">
        <w:trPr>
          <w:trHeight w:val="315"/>
        </w:trPr>
        <w:tc>
          <w:tcPr>
            <w:tcW w:w="851" w:type="dxa"/>
          </w:tcPr>
          <w:p w14:paraId="7EDC0ED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5B31869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1606772D" w14:textId="1D20A74B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187536,5</w:t>
            </w:r>
          </w:p>
        </w:tc>
        <w:tc>
          <w:tcPr>
            <w:tcW w:w="1560" w:type="dxa"/>
          </w:tcPr>
          <w:p w14:paraId="1116C507" w14:textId="16AB1F1E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77725,</w:t>
            </w:r>
            <w:r w:rsidR="00EB5FA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191628E" w14:textId="44E3997D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742A75" w:rsidRPr="000C4507" w14:paraId="2EB06DE6" w14:textId="77777777" w:rsidTr="003658E6">
        <w:trPr>
          <w:trHeight w:val="315"/>
        </w:trPr>
        <w:tc>
          <w:tcPr>
            <w:tcW w:w="851" w:type="dxa"/>
          </w:tcPr>
          <w:p w14:paraId="61D5A537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5C300825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39B55320" w14:textId="23972C08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2035,1</w:t>
            </w:r>
          </w:p>
        </w:tc>
        <w:tc>
          <w:tcPr>
            <w:tcW w:w="1560" w:type="dxa"/>
          </w:tcPr>
          <w:p w14:paraId="7C42CABD" w14:textId="7BEBC555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875,1</w:t>
            </w:r>
          </w:p>
        </w:tc>
        <w:tc>
          <w:tcPr>
            <w:tcW w:w="850" w:type="dxa"/>
          </w:tcPr>
          <w:p w14:paraId="2968A5E1" w14:textId="2B09088C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742A75" w:rsidRPr="000C4507" w14:paraId="39ACDE12" w14:textId="77777777" w:rsidTr="003658E6">
        <w:trPr>
          <w:trHeight w:val="315"/>
        </w:trPr>
        <w:tc>
          <w:tcPr>
            <w:tcW w:w="851" w:type="dxa"/>
          </w:tcPr>
          <w:p w14:paraId="4174DD2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3B542D4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2758F087" w14:textId="623C54BC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12681,8</w:t>
            </w:r>
          </w:p>
        </w:tc>
        <w:tc>
          <w:tcPr>
            <w:tcW w:w="1560" w:type="dxa"/>
          </w:tcPr>
          <w:p w14:paraId="1A1043B0" w14:textId="59AD9691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5124,3</w:t>
            </w:r>
          </w:p>
        </w:tc>
        <w:tc>
          <w:tcPr>
            <w:tcW w:w="850" w:type="dxa"/>
          </w:tcPr>
          <w:p w14:paraId="7D0165D7" w14:textId="2130B57D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742A75" w:rsidRPr="000C4507" w14:paraId="1F8EACB3" w14:textId="77777777" w:rsidTr="003658E6">
        <w:trPr>
          <w:trHeight w:val="315"/>
        </w:trPr>
        <w:tc>
          <w:tcPr>
            <w:tcW w:w="851" w:type="dxa"/>
          </w:tcPr>
          <w:p w14:paraId="37D020D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23" w:type="dxa"/>
          </w:tcPr>
          <w:p w14:paraId="4688E32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0C7FED9F" w14:textId="69BB0C96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174458,</w:t>
            </w:r>
            <w:r w:rsidR="00EB5FA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2CBB00D" w14:textId="5EED01DE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55302,</w:t>
            </w:r>
            <w:r w:rsidR="00EB5FA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B2D9A8A" w14:textId="13ED15D0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742A75" w:rsidRPr="000C4507" w14:paraId="4C146A21" w14:textId="77777777" w:rsidTr="003658E6">
        <w:trPr>
          <w:trHeight w:val="315"/>
        </w:trPr>
        <w:tc>
          <w:tcPr>
            <w:tcW w:w="851" w:type="dxa"/>
          </w:tcPr>
          <w:p w14:paraId="3F841F93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423" w:type="dxa"/>
          </w:tcPr>
          <w:p w14:paraId="4ABC2E5B" w14:textId="77777777" w:rsidR="00742A75" w:rsidRPr="000C4507" w:rsidRDefault="00742A75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304B3EBD" w14:textId="243ED93A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180076,9</w:t>
            </w:r>
          </w:p>
        </w:tc>
        <w:tc>
          <w:tcPr>
            <w:tcW w:w="1560" w:type="dxa"/>
          </w:tcPr>
          <w:p w14:paraId="51B29ECB" w14:textId="2CB6D879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73913,6</w:t>
            </w:r>
          </w:p>
        </w:tc>
        <w:tc>
          <w:tcPr>
            <w:tcW w:w="850" w:type="dxa"/>
          </w:tcPr>
          <w:p w14:paraId="4C82AC2F" w14:textId="2D82661B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42A75" w:rsidRPr="000C4507" w14:paraId="0B5F5BFD" w14:textId="77777777" w:rsidTr="003658E6">
        <w:trPr>
          <w:trHeight w:val="315"/>
        </w:trPr>
        <w:tc>
          <w:tcPr>
            <w:tcW w:w="851" w:type="dxa"/>
          </w:tcPr>
          <w:p w14:paraId="463852C6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423" w:type="dxa"/>
          </w:tcPr>
          <w:p w14:paraId="79CC4726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2CD2791D" w14:textId="38C5CA40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632039,9</w:t>
            </w:r>
          </w:p>
        </w:tc>
        <w:tc>
          <w:tcPr>
            <w:tcW w:w="1560" w:type="dxa"/>
          </w:tcPr>
          <w:p w14:paraId="217D0E33" w14:textId="0BDCC086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257516,9</w:t>
            </w:r>
          </w:p>
        </w:tc>
        <w:tc>
          <w:tcPr>
            <w:tcW w:w="850" w:type="dxa"/>
          </w:tcPr>
          <w:p w14:paraId="55968B00" w14:textId="47101B7A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742A75" w:rsidRPr="000C4507" w14:paraId="6D6BEBBA" w14:textId="77777777" w:rsidTr="003658E6">
        <w:trPr>
          <w:trHeight w:val="315"/>
        </w:trPr>
        <w:tc>
          <w:tcPr>
            <w:tcW w:w="851" w:type="dxa"/>
          </w:tcPr>
          <w:p w14:paraId="6458BC5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423" w:type="dxa"/>
          </w:tcPr>
          <w:p w14:paraId="3B3E6817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642C1850" w14:textId="5B4C5B87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105683,6</w:t>
            </w:r>
          </w:p>
        </w:tc>
        <w:tc>
          <w:tcPr>
            <w:tcW w:w="1560" w:type="dxa"/>
          </w:tcPr>
          <w:p w14:paraId="0AADACBA" w14:textId="7C35FF2A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45121,9</w:t>
            </w:r>
          </w:p>
        </w:tc>
        <w:tc>
          <w:tcPr>
            <w:tcW w:w="850" w:type="dxa"/>
          </w:tcPr>
          <w:p w14:paraId="43C8121E" w14:textId="44CD2003" w:rsidR="00742A75" w:rsidRPr="000C4507" w:rsidRDefault="009713FE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742A75" w:rsidRPr="000C4507" w14:paraId="074F51C3" w14:textId="77777777" w:rsidTr="003658E6">
        <w:trPr>
          <w:trHeight w:val="315"/>
        </w:trPr>
        <w:tc>
          <w:tcPr>
            <w:tcW w:w="851" w:type="dxa"/>
          </w:tcPr>
          <w:p w14:paraId="603F2ED0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72F3BF4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0BFEA95E" w14:textId="44E14C50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51955,2</w:t>
            </w:r>
          </w:p>
        </w:tc>
        <w:tc>
          <w:tcPr>
            <w:tcW w:w="1560" w:type="dxa"/>
          </w:tcPr>
          <w:p w14:paraId="43B43E36" w14:textId="69F4273D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23337,9</w:t>
            </w:r>
          </w:p>
        </w:tc>
        <w:tc>
          <w:tcPr>
            <w:tcW w:w="850" w:type="dxa"/>
          </w:tcPr>
          <w:p w14:paraId="74C366E5" w14:textId="19C671EE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742A75" w:rsidRPr="000C4507" w14:paraId="217D59BE" w14:textId="77777777" w:rsidTr="003658E6">
        <w:trPr>
          <w:trHeight w:val="315"/>
        </w:trPr>
        <w:tc>
          <w:tcPr>
            <w:tcW w:w="851" w:type="dxa"/>
          </w:tcPr>
          <w:p w14:paraId="09004EFB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6BE29BF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6F85658F" w14:textId="3053178C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9163,8</w:t>
            </w:r>
          </w:p>
        </w:tc>
        <w:tc>
          <w:tcPr>
            <w:tcW w:w="1560" w:type="dxa"/>
          </w:tcPr>
          <w:p w14:paraId="6B960646" w14:textId="082C56F7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2264,8</w:t>
            </w:r>
          </w:p>
        </w:tc>
        <w:tc>
          <w:tcPr>
            <w:tcW w:w="850" w:type="dxa"/>
          </w:tcPr>
          <w:p w14:paraId="757B97D9" w14:textId="1BB5F82A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742A75" w:rsidRPr="000C4507" w14:paraId="455CEF0E" w14:textId="77777777" w:rsidTr="003658E6">
        <w:trPr>
          <w:trHeight w:val="315"/>
        </w:trPr>
        <w:tc>
          <w:tcPr>
            <w:tcW w:w="851" w:type="dxa"/>
          </w:tcPr>
          <w:p w14:paraId="60E895E1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55CAB9F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5D4E3CA2" w14:textId="7EF1BEA6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4367,1</w:t>
            </w:r>
          </w:p>
        </w:tc>
        <w:tc>
          <w:tcPr>
            <w:tcW w:w="1560" w:type="dxa"/>
          </w:tcPr>
          <w:p w14:paraId="1D78FA41" w14:textId="36ED64D1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1752,7</w:t>
            </w:r>
          </w:p>
        </w:tc>
        <w:tc>
          <w:tcPr>
            <w:tcW w:w="850" w:type="dxa"/>
          </w:tcPr>
          <w:p w14:paraId="45255C91" w14:textId="06765B3A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742A75" w:rsidRPr="000C4507" w14:paraId="710A30E3" w14:textId="77777777" w:rsidTr="003658E6">
        <w:trPr>
          <w:trHeight w:val="315"/>
        </w:trPr>
        <w:tc>
          <w:tcPr>
            <w:tcW w:w="851" w:type="dxa"/>
          </w:tcPr>
          <w:p w14:paraId="194BD7C3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0DA107FE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75BC5EEE" w14:textId="57C776CD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14:paraId="5692D17D" w14:textId="1D8A0382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14:paraId="597B7A28" w14:textId="11FE5D39" w:rsidR="00742A75" w:rsidRPr="000C4507" w:rsidRDefault="00EB5FA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2A75" w:rsidRPr="000C4507" w14:paraId="0A4A6034" w14:textId="77777777" w:rsidTr="00742A75">
        <w:trPr>
          <w:trHeight w:val="328"/>
        </w:trPr>
        <w:tc>
          <w:tcPr>
            <w:tcW w:w="851" w:type="dxa"/>
            <w:shd w:val="clear" w:color="auto" w:fill="F2B9A8" w:themeFill="accent6" w:themeFillTint="66"/>
          </w:tcPr>
          <w:p w14:paraId="2F0264EF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2B9A8" w:themeFill="accent6" w:themeFillTint="66"/>
          </w:tcPr>
          <w:p w14:paraId="09E6F108" w14:textId="77777777" w:rsidR="00742A75" w:rsidRPr="000C4507" w:rsidRDefault="00742A75" w:rsidP="003658E6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7BB968F7" w14:textId="127BB9DA" w:rsidR="00742A75" w:rsidRPr="000C4507" w:rsidRDefault="009713FE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1360005,3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2FCBA41" w14:textId="2DA86999" w:rsidR="00742A75" w:rsidRPr="000C4507" w:rsidRDefault="009713FE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542935,2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04820019" w14:textId="36544EC3" w:rsidR="00742A75" w:rsidRPr="000C4507" w:rsidRDefault="009713FE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</w:tr>
    </w:tbl>
    <w:p w14:paraId="697472D0" w14:textId="40977A76" w:rsidR="007C3BFD" w:rsidRDefault="007C3BFD" w:rsidP="00742A75">
      <w:pPr>
        <w:spacing w:before="240" w:line="360" w:lineRule="auto"/>
        <w:ind w:firstLine="709"/>
        <w:jc w:val="both"/>
      </w:pPr>
      <w:r>
        <w:t>За перв</w:t>
      </w:r>
      <w:r w:rsidR="001D691A">
        <w:t>ое</w:t>
      </w:r>
      <w:r>
        <w:t xml:space="preserve"> </w:t>
      </w:r>
      <w:r w:rsidR="001D691A">
        <w:t>полугодие</w:t>
      </w:r>
      <w:r>
        <w:t xml:space="preserve"> 20</w:t>
      </w:r>
      <w:r w:rsidR="00323734">
        <w:t>2</w:t>
      </w:r>
      <w:r w:rsidR="00EB5FA4">
        <w:t>2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2759CA79" w14:textId="463E306F" w:rsidR="00742A75" w:rsidRDefault="00742A75" w:rsidP="00742A7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«Обслуживание государственного и муниципального долга» - </w:t>
      </w:r>
      <w:r w:rsidR="00EB5FA4">
        <w:t>2,0</w:t>
      </w:r>
      <w:r>
        <w:t>%,</w:t>
      </w:r>
    </w:p>
    <w:p w14:paraId="336576D2" w14:textId="6CF0891B" w:rsidR="002E03E2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Национальная экономика</w:t>
      </w:r>
      <w:r>
        <w:t xml:space="preserve">» - </w:t>
      </w:r>
      <w:r w:rsidR="00C61BDA">
        <w:t>31,7</w:t>
      </w:r>
      <w:r>
        <w:t>%,</w:t>
      </w:r>
    </w:p>
    <w:p w14:paraId="59CC02EB" w14:textId="7397B179" w:rsidR="002E03E2" w:rsidRDefault="00DD4A66" w:rsidP="00A13F6B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D691A">
        <w:t>Физическая культура и спорт</w:t>
      </w:r>
      <w:r>
        <w:t xml:space="preserve">» - </w:t>
      </w:r>
      <w:r w:rsidR="00C61BDA">
        <w:t>24,7</w:t>
      </w:r>
      <w:r>
        <w:t>%</w:t>
      </w:r>
      <w:r w:rsidR="001E6CD5">
        <w:t>.</w:t>
      </w:r>
    </w:p>
    <w:p w14:paraId="0298E4B1" w14:textId="6416F696" w:rsidR="001E6CD5" w:rsidRDefault="00C61BDA" w:rsidP="007C3BFD">
      <w:pPr>
        <w:spacing w:line="360" w:lineRule="auto"/>
        <w:ind w:firstLine="709"/>
        <w:jc w:val="both"/>
      </w:pPr>
      <w:r>
        <w:t>По остальным</w:t>
      </w:r>
      <w:r w:rsidR="002E03E2">
        <w:t xml:space="preserve"> раздел</w:t>
      </w:r>
      <w:r w:rsidR="001E6CD5">
        <w:t>ам</w:t>
      </w:r>
      <w:r>
        <w:t xml:space="preserve"> исполнение составило в среднем 41,8%.</w:t>
      </w:r>
    </w:p>
    <w:p w14:paraId="43CC270B" w14:textId="77777777" w:rsidR="000C761E" w:rsidRDefault="000C761E" w:rsidP="000C761E">
      <w:pPr>
        <w:spacing w:line="276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0A02975B" w14:textId="77777777" w:rsidR="000C761E" w:rsidRPr="00BD43CB" w:rsidRDefault="000C761E" w:rsidP="000C761E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1A924D10" wp14:editId="7EE4D805">
            <wp:extent cx="5852795" cy="3124800"/>
            <wp:effectExtent l="0" t="0" r="146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A48728" w14:textId="77777777" w:rsidR="00F65160" w:rsidRDefault="00F65160" w:rsidP="00F65160">
      <w:pPr>
        <w:spacing w:before="240" w:line="360" w:lineRule="auto"/>
        <w:ind w:firstLine="567"/>
        <w:jc w:val="both"/>
      </w:pPr>
      <w:r>
        <w:t>Характеристика расходной части бюджета по разделам функциональной классификации приведена в таблице:</w:t>
      </w: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53"/>
        <w:gridCol w:w="1415"/>
        <w:gridCol w:w="1247"/>
        <w:gridCol w:w="10"/>
        <w:gridCol w:w="1153"/>
        <w:gridCol w:w="992"/>
        <w:gridCol w:w="1276"/>
      </w:tblGrid>
      <w:tr w:rsidR="00EE1198" w14:paraId="32F66728" w14:textId="77777777" w:rsidTr="00EE1198">
        <w:trPr>
          <w:trHeight w:val="40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D0CA" w14:textId="77777777" w:rsidR="00EE1198" w:rsidRDefault="00EE1198">
            <w:pPr>
              <w:spacing w:line="256" w:lineRule="auto"/>
              <w:ind w:left="-97" w:right="-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БК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A542" w14:textId="77777777" w:rsidR="00EE1198" w:rsidRDefault="00EE119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отраслей бюджетной сферы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A095" w14:textId="77777777" w:rsidR="00EE1198" w:rsidRDefault="00EE1198">
            <w:pPr>
              <w:spacing w:line="256" w:lineRule="auto"/>
              <w:ind w:left="-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26E250C6" w14:textId="0BCA1120" w:rsid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29C984BF" w14:textId="57026E11" w:rsid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 к 2021 году</w:t>
            </w:r>
          </w:p>
        </w:tc>
      </w:tr>
      <w:tr w:rsidR="00F65160" w14:paraId="130AB7B2" w14:textId="77777777" w:rsidTr="00EE1198">
        <w:trPr>
          <w:trHeight w:val="40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4638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A046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4D50" w14:textId="0C2758FD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Исполнено на 01.0</w:t>
            </w:r>
            <w:r w:rsidRPr="00EE1198">
              <w:rPr>
                <w:b/>
                <w:sz w:val="22"/>
                <w:szCs w:val="22"/>
                <w:lang w:eastAsia="en-US"/>
              </w:rPr>
              <w:t>7</w:t>
            </w:r>
            <w:r w:rsidRPr="00EE1198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hideMark/>
          </w:tcPr>
          <w:p w14:paraId="7CD1AC28" w14:textId="7777777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Доля в общей сумме расходов (%)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12C68048" w14:textId="3FF359C4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Исполнено на 01.0</w:t>
            </w:r>
            <w:r w:rsidRPr="00EE1198">
              <w:rPr>
                <w:b/>
                <w:sz w:val="22"/>
                <w:szCs w:val="22"/>
                <w:lang w:eastAsia="en-US"/>
              </w:rPr>
              <w:t>7</w:t>
            </w:r>
            <w:r w:rsidRPr="00EE1198">
              <w:rPr>
                <w:b/>
                <w:sz w:val="22"/>
                <w:szCs w:val="22"/>
                <w:lang w:eastAsia="en-US"/>
              </w:rPr>
              <w:t>.</w:t>
            </w:r>
          </w:p>
          <w:p w14:paraId="64340679" w14:textId="7777777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3243" w14:textId="17065491" w:rsidR="00F65160" w:rsidRP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Доля в общей сумме расходов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hideMark/>
          </w:tcPr>
          <w:p w14:paraId="1F3A1A2B" w14:textId="6C109FF8" w:rsidR="00F65160" w:rsidRP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F65160" w14:paraId="3A02C718" w14:textId="77777777" w:rsidTr="00EE119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D380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92F1" w14:textId="77777777" w:rsidR="00F65160" w:rsidRDefault="00F65160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FF4B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AE9E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373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9CF4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FEE1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65160" w14:paraId="41A40D2F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6E4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1421" w14:textId="77777777" w:rsidR="00F65160" w:rsidRDefault="00F65160" w:rsidP="00F65160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24E1" w14:textId="13122ADB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77725,3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C55A" w14:textId="4B037D35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B9AF" w14:textId="1BE6D2A6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397" w14:textId="03293B24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575A" w14:textId="238AA169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121,2</w:t>
            </w:r>
          </w:p>
        </w:tc>
      </w:tr>
      <w:tr w:rsidR="00F65160" w14:paraId="37797EFC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96B8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F818" w14:textId="77777777" w:rsidR="00F65160" w:rsidRDefault="00F65160" w:rsidP="00F65160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9618" w14:textId="3B02D56C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875,1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0DB5" w14:textId="4AAAE256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9D50" w14:textId="2C7E5944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79E" w14:textId="6DB8ABD0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545" w14:textId="6AF62096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83,9</w:t>
            </w:r>
          </w:p>
        </w:tc>
      </w:tr>
      <w:tr w:rsidR="00F65160" w14:paraId="6292354A" w14:textId="77777777" w:rsidTr="00EE1198">
        <w:trPr>
          <w:trHeight w:val="4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57FF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B24B" w14:textId="77777777" w:rsidR="00F65160" w:rsidRDefault="00F65160" w:rsidP="00F65160">
            <w:pPr>
              <w:spacing w:line="256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CD39" w14:textId="76C25D1C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5124,3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E5B7" w14:textId="1B9DD160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6770" w14:textId="3AE7ECBE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F1E0" w14:textId="0B3FEC00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570" w14:textId="628D631C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120,9</w:t>
            </w:r>
          </w:p>
        </w:tc>
      </w:tr>
      <w:tr w:rsidR="00F65160" w14:paraId="130076B0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3C4A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A5A4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EB7" w14:textId="4A19193C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55302,6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E8CD" w14:textId="236340D7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F4C2" w14:textId="01149700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B314" w14:textId="4867DD82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092A" w14:textId="127B168E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416,3</w:t>
            </w:r>
          </w:p>
        </w:tc>
      </w:tr>
      <w:tr w:rsidR="00F65160" w14:paraId="217A642F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FD08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CD23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827" w14:textId="3FE9FEC5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73913,6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5219" w14:textId="52D6732C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26F" w14:textId="1ABAE478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CEA3" w14:textId="054A194A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1389" w14:textId="7045459D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217,4</w:t>
            </w:r>
          </w:p>
        </w:tc>
      </w:tr>
      <w:tr w:rsidR="00F65160" w14:paraId="1962A70B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2AC0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F320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D156" w14:textId="0EDF9B98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257516,9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1B8" w14:textId="23D36125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54E4" w14:textId="69BD8ABA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251285,7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6886" w14:textId="21914D9E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B147" w14:textId="1E093D4E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102,5</w:t>
            </w:r>
          </w:p>
        </w:tc>
      </w:tr>
      <w:tr w:rsidR="00F65160" w14:paraId="68554A87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17F3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C600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09B" w14:textId="3360C965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45121,9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0E80" w14:textId="28BFAFF9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1413" w14:textId="2A3465C6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0161" w14:textId="3FD175C5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D654" w14:textId="326E88B7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90,3</w:t>
            </w:r>
          </w:p>
        </w:tc>
      </w:tr>
      <w:tr w:rsidR="00F65160" w14:paraId="27819BCE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FA2E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814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183" w14:textId="231B03DB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23337,9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6703" w14:textId="4AA2D658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F4F" w14:textId="68F99A70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6602" w14:textId="5584B076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1B64" w14:textId="1A85C02E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97,4</w:t>
            </w:r>
          </w:p>
        </w:tc>
      </w:tr>
      <w:tr w:rsidR="00F65160" w14:paraId="6C2517E2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E476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464D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E417" w14:textId="5E6FAC11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2264,8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AAF" w14:textId="31445CA2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C6A8" w14:textId="145BA62C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05E1" w14:textId="345838A1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637A" w14:textId="0E28090F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130,7</w:t>
            </w:r>
          </w:p>
        </w:tc>
      </w:tr>
      <w:tr w:rsidR="00F65160" w14:paraId="51C78CBF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2DC3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8AFF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4DD3" w14:textId="7D28FB43" w:rsidR="00F65160" w:rsidRDefault="00F65160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1752,7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74C9" w14:textId="3E141748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3AC1" w14:textId="0E527745" w:rsidR="00F65160" w:rsidRDefault="008E7608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E1FD" w14:textId="39936EFD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AC0F" w14:textId="4091042B" w:rsidR="00F65160" w:rsidRDefault="004A33B3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84,9</w:t>
            </w:r>
          </w:p>
        </w:tc>
      </w:tr>
      <w:tr w:rsidR="00F65160" w14:paraId="7C8E6FCE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84C" w14:textId="77777777" w:rsidR="00F65160" w:rsidRDefault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3E71" w14:textId="77777777" w:rsidR="00F65160" w:rsidRDefault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F01" w14:textId="5E889A5E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EDEA" w14:textId="23CDE84B" w:rsidR="00F65160" w:rsidRDefault="004A33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2112" w14:textId="291283A8" w:rsidR="00F65160" w:rsidRDefault="008E760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7B25" w14:textId="6815A990" w:rsidR="00F65160" w:rsidRDefault="004A33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87B" w14:textId="7E3B4C97" w:rsidR="00F65160" w:rsidRDefault="004A33B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65160" w14:paraId="7EDF6FAC" w14:textId="77777777" w:rsidTr="00EE1198">
        <w:trPr>
          <w:trHeight w:val="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BF7" w14:textId="77777777" w:rsidR="00F65160" w:rsidRDefault="00F65160">
            <w:pPr>
              <w:spacing w:line="256" w:lineRule="auto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A5EE" w14:textId="57249F79" w:rsidR="00F65160" w:rsidRDefault="008E760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542935,2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7765" w14:textId="299D1A6E" w:rsidR="00F65160" w:rsidRDefault="004A33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907" w14:textId="4B0C0820" w:rsidR="00F65160" w:rsidRDefault="008E760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445694,1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6C" w14:textId="181977F7" w:rsidR="00F65160" w:rsidRDefault="004A33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387" w14:textId="53380A41" w:rsidR="00F65160" w:rsidRDefault="004A33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121,8</w:t>
            </w:r>
          </w:p>
        </w:tc>
      </w:tr>
    </w:tbl>
    <w:p w14:paraId="5CCC0B13" w14:textId="77777777" w:rsidR="00F65160" w:rsidRDefault="00F65160" w:rsidP="00F65160">
      <w:pPr>
        <w:spacing w:line="276" w:lineRule="auto"/>
        <w:ind w:firstLine="567"/>
        <w:jc w:val="both"/>
      </w:pPr>
    </w:p>
    <w:p w14:paraId="15C25BB4" w14:textId="7E869DC3" w:rsidR="004A33B3" w:rsidRDefault="004A33B3" w:rsidP="004A33B3">
      <w:pPr>
        <w:spacing w:line="360" w:lineRule="auto"/>
        <w:ind w:firstLine="567"/>
        <w:jc w:val="both"/>
      </w:pPr>
      <w:r>
        <w:t xml:space="preserve">В сравнении с аналогичным периодом прошлого года объем расходов консолидированного бюджета в 2022 году увеличился на </w:t>
      </w:r>
      <w:r>
        <w:t>97241,1</w:t>
      </w:r>
      <w:r>
        <w:t xml:space="preserve"> тыс. рублей и составил </w:t>
      </w:r>
      <w:r>
        <w:t>121,8</w:t>
      </w:r>
      <w:r>
        <w:t xml:space="preserve">% к </w:t>
      </w:r>
      <w:r w:rsidR="00BA59B8">
        <w:t xml:space="preserve">объему </w:t>
      </w:r>
      <w:r>
        <w:t>прошло</w:t>
      </w:r>
      <w:r w:rsidR="00BA59B8">
        <w:t>го</w:t>
      </w:r>
      <w:r>
        <w:t xml:space="preserve"> год</w:t>
      </w:r>
      <w:r w:rsidR="00BA59B8">
        <w:t>а</w:t>
      </w:r>
      <w:r>
        <w:t>.</w:t>
      </w:r>
    </w:p>
    <w:p w14:paraId="1AF0343A" w14:textId="67B5BDC9" w:rsidR="002E03E2" w:rsidRDefault="002E03E2" w:rsidP="003D0D8D">
      <w:pPr>
        <w:spacing w:before="240"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3D0D8D">
        <w:t>ое</w:t>
      </w:r>
      <w:r>
        <w:t xml:space="preserve"> </w:t>
      </w:r>
      <w:r w:rsidR="003D0D8D">
        <w:t>полугодие</w:t>
      </w:r>
      <w:r w:rsidR="00601029">
        <w:t xml:space="preserve"> </w:t>
      </w:r>
      <w:r>
        <w:t xml:space="preserve">текущего года сельскими поселениями в целом расходы исполнены на </w:t>
      </w:r>
      <w:r w:rsidR="00BA59B8">
        <w:t>99985,9</w:t>
      </w:r>
      <w:r>
        <w:t xml:space="preserve"> тыс. рублей или на </w:t>
      </w:r>
      <w:r w:rsidR="00BA59B8">
        <w:t>43,3</w:t>
      </w:r>
      <w:r>
        <w:t>% от годового плана (</w:t>
      </w:r>
      <w:r w:rsidR="00BA59B8">
        <w:t>230856,8</w:t>
      </w:r>
      <w:r>
        <w:t xml:space="preserve"> тыс. рублей)</w:t>
      </w:r>
      <w:r w:rsidR="0009583C">
        <w:t>.</w:t>
      </w:r>
    </w:p>
    <w:p w14:paraId="0C105AC2" w14:textId="33AFD7D7"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</w:t>
      </w:r>
      <w:r w:rsidR="007D1905">
        <w:t>, более 50%,</w:t>
      </w:r>
      <w:r w:rsidRPr="00D81CBC">
        <w:t xml:space="preserve"> за перв</w:t>
      </w:r>
      <w:r w:rsidR="007D1905">
        <w:t>ое</w:t>
      </w:r>
      <w:r w:rsidRPr="00D81CBC">
        <w:t xml:space="preserve"> </w:t>
      </w:r>
      <w:r w:rsidR="007D1905">
        <w:t>полугодие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10F46646" w14:textId="2B7DAD97" w:rsidR="004836C5" w:rsidRDefault="004836C5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 сельсовет – 65,1%</w:t>
      </w:r>
    </w:p>
    <w:p w14:paraId="0FD583A3" w14:textId="711DB174" w:rsidR="007D1905" w:rsidRPr="00D81CBC" w:rsidRDefault="009F0F95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>Нижнематренский</w:t>
      </w:r>
      <w:r w:rsidR="007D1905" w:rsidRPr="00D81CBC">
        <w:t xml:space="preserve"> сельсовет – </w:t>
      </w:r>
      <w:r w:rsidR="004836C5">
        <w:t>52,2</w:t>
      </w:r>
      <w:r w:rsidR="007D1905" w:rsidRPr="00D81CBC">
        <w:t>%</w:t>
      </w:r>
    </w:p>
    <w:p w14:paraId="6A76751A" w14:textId="6336587C" w:rsidR="00D81CBC" w:rsidRDefault="004836C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Березнеговатский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52,7</w:t>
      </w:r>
      <w:r w:rsidR="00AD691C" w:rsidRPr="00DD4A66">
        <w:t>%</w:t>
      </w:r>
    </w:p>
    <w:p w14:paraId="08E34D38" w14:textId="0E58A240" w:rsidR="007D1905" w:rsidRDefault="004836C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="007D1905">
        <w:t xml:space="preserve"> сельсовет – </w:t>
      </w:r>
      <w:r>
        <w:t>51,8</w:t>
      </w:r>
      <w:r w:rsidR="007D1905">
        <w:t>%</w:t>
      </w:r>
      <w:r w:rsidR="009F0F95">
        <w:t>.</w:t>
      </w:r>
    </w:p>
    <w:p w14:paraId="517D501B" w14:textId="77777777" w:rsidR="004836C5" w:rsidRPr="00DD4A66" w:rsidRDefault="004836C5" w:rsidP="004836C5">
      <w:pPr>
        <w:spacing w:line="360" w:lineRule="auto"/>
        <w:ind w:firstLine="709"/>
        <w:jc w:val="both"/>
      </w:pPr>
      <w:r w:rsidRPr="00DD4A66">
        <w:t>Наиболее низкий процент выполнения плана наблюдается в следующих сельских поселениях:</w:t>
      </w:r>
    </w:p>
    <w:p w14:paraId="4F76F63F" w14:textId="1AE22DEE" w:rsidR="004836C5" w:rsidRDefault="004836C5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>
        <w:t xml:space="preserve"> сельсовет -</w:t>
      </w:r>
      <w:r>
        <w:t>25,5</w:t>
      </w:r>
      <w:r>
        <w:t>%</w:t>
      </w:r>
    </w:p>
    <w:p w14:paraId="21D1B1F2" w14:textId="7FC1798E" w:rsidR="004836C5" w:rsidRDefault="004836C5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</w:t>
      </w:r>
      <w:r>
        <w:t xml:space="preserve"> сельсовет – </w:t>
      </w:r>
      <w:r>
        <w:t>30,7</w:t>
      </w:r>
      <w:r>
        <w:t>%</w:t>
      </w:r>
    </w:p>
    <w:p w14:paraId="04A44957" w14:textId="1BFF4AF6" w:rsidR="004836C5" w:rsidRDefault="004836C5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</w:t>
      </w:r>
      <w:r>
        <w:t xml:space="preserve"> сельсовет – </w:t>
      </w:r>
      <w:r>
        <w:t>31,5</w:t>
      </w:r>
      <w:r>
        <w:t>%</w:t>
      </w:r>
    </w:p>
    <w:p w14:paraId="2D9E3977" w14:textId="042C41FE" w:rsidR="004836C5" w:rsidRPr="007B3823" w:rsidRDefault="004836C5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>
        <w:t xml:space="preserve"> сельсовет – </w:t>
      </w:r>
      <w:r>
        <w:t>32,8</w:t>
      </w:r>
      <w:r>
        <w:t>%.</w:t>
      </w:r>
    </w:p>
    <w:p w14:paraId="0E58A559" w14:textId="71C5948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</w:t>
      </w:r>
      <w:r w:rsidR="004836C5">
        <w:t>ов сельских поселений</w:t>
      </w:r>
      <w:r>
        <w:t xml:space="preserve">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lastRenderedPageBreak/>
        <w:drawing>
          <wp:inline distT="0" distB="0" distL="0" distR="0" wp14:anchorId="64FF832A" wp14:editId="41C6F8AC">
            <wp:extent cx="5975985" cy="3931200"/>
            <wp:effectExtent l="0" t="0" r="5715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F05004" w14:textId="77777777" w:rsidR="00615C41" w:rsidRDefault="00615C41" w:rsidP="00615C41">
      <w:pPr>
        <w:spacing w:before="240" w:line="360" w:lineRule="auto"/>
        <w:ind w:firstLine="709"/>
        <w:jc w:val="both"/>
      </w:pPr>
      <w:r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770B3A17" w14:textId="1B02215A" w:rsidR="00615C41" w:rsidRDefault="00615C41" w:rsidP="00615C41">
      <w:pPr>
        <w:spacing w:line="360" w:lineRule="auto"/>
        <w:ind w:firstLine="709"/>
        <w:jc w:val="both"/>
        <w:rPr>
          <w:sz w:val="22"/>
          <w:szCs w:val="22"/>
        </w:rPr>
      </w:pPr>
      <w:r>
        <w:t>Объем муниципального долга сельских поселений Добринского района по состоянию на 01.07.202</w:t>
      </w:r>
      <w:r w:rsidR="000D12DE">
        <w:t>2</w:t>
      </w:r>
      <w:r>
        <w:t xml:space="preserve"> год составил 4681,8 тыс. рублей. За отчетный период произошло снижение долговых обязательств на 107,5 тыс. рублей. Изменение объема и структуры муниципального долга представлены в таблице.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615C41" w:rsidRPr="00812713" w14:paraId="6B16B16A" w14:textId="77777777" w:rsidTr="000D12DE">
        <w:tc>
          <w:tcPr>
            <w:tcW w:w="2023" w:type="dxa"/>
            <w:vMerge w:val="restart"/>
            <w:shd w:val="clear" w:color="auto" w:fill="F2B9A8" w:themeFill="accent6" w:themeFillTint="66"/>
          </w:tcPr>
          <w:p w14:paraId="04C07AF9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shd w:val="clear" w:color="auto" w:fill="F2B9A8" w:themeFill="accent6" w:themeFillTint="66"/>
          </w:tcPr>
          <w:p w14:paraId="673A443F" w14:textId="41BDA24B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</w:t>
            </w:r>
            <w:r w:rsidR="000D12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4" w:type="dxa"/>
            <w:gridSpan w:val="2"/>
            <w:shd w:val="clear" w:color="auto" w:fill="F2B9A8" w:themeFill="accent6" w:themeFillTint="66"/>
          </w:tcPr>
          <w:p w14:paraId="41592204" w14:textId="703780A0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</w:t>
            </w:r>
            <w:r w:rsidR="000D12DE">
              <w:rPr>
                <w:b/>
                <w:sz w:val="24"/>
                <w:szCs w:val="24"/>
              </w:rPr>
              <w:t>7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0D12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137ADA5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615C41" w:rsidRPr="00812713" w14:paraId="171A9C66" w14:textId="77777777" w:rsidTr="000D12DE">
        <w:tc>
          <w:tcPr>
            <w:tcW w:w="2023" w:type="dxa"/>
            <w:vMerge/>
            <w:shd w:val="clear" w:color="auto" w:fill="F8DCD3" w:themeFill="accent6" w:themeFillTint="33"/>
          </w:tcPr>
          <w:p w14:paraId="60A114BC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B9A8" w:themeFill="accent6" w:themeFillTint="66"/>
          </w:tcPr>
          <w:p w14:paraId="1EA5596C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F2B9A8" w:themeFill="accent6" w:themeFillTint="66"/>
          </w:tcPr>
          <w:p w14:paraId="48645801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62" w:type="dxa"/>
            <w:shd w:val="clear" w:color="auto" w:fill="F2B9A8" w:themeFill="accent6" w:themeFillTint="66"/>
          </w:tcPr>
          <w:p w14:paraId="4C90FB0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F2B9A8" w:themeFill="accent6" w:themeFillTint="66"/>
          </w:tcPr>
          <w:p w14:paraId="70FBEFA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/>
            <w:shd w:val="clear" w:color="auto" w:fill="F8DCD3" w:themeFill="accent6" w:themeFillTint="33"/>
          </w:tcPr>
          <w:p w14:paraId="0C25898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2DE" w:rsidRPr="00812713" w14:paraId="0DE50E90" w14:textId="77777777" w:rsidTr="000D12DE">
        <w:tc>
          <w:tcPr>
            <w:tcW w:w="2023" w:type="dxa"/>
          </w:tcPr>
          <w:p w14:paraId="72EEB50A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14:paraId="4AA4457B" w14:textId="5F7A1CE7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1923,5</w:t>
            </w:r>
          </w:p>
        </w:tc>
        <w:tc>
          <w:tcPr>
            <w:tcW w:w="1431" w:type="dxa"/>
          </w:tcPr>
          <w:p w14:paraId="1B0A5B79" w14:textId="0CF6891A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1462" w:type="dxa"/>
          </w:tcPr>
          <w:p w14:paraId="7763F7FC" w14:textId="1C61929E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512D863E" w14:textId="49F9459A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5A83D090" w14:textId="735DCB1C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-1923,5</w:t>
            </w:r>
          </w:p>
        </w:tc>
      </w:tr>
      <w:tr w:rsidR="000D12DE" w:rsidRPr="00812713" w14:paraId="310FFDC4" w14:textId="77777777" w:rsidTr="000D12DE">
        <w:tc>
          <w:tcPr>
            <w:tcW w:w="2023" w:type="dxa"/>
          </w:tcPr>
          <w:p w14:paraId="276C7385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61" w:type="dxa"/>
          </w:tcPr>
          <w:p w14:paraId="06987A8E" w14:textId="50E23CDC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31" w:type="dxa"/>
          </w:tcPr>
          <w:p w14:paraId="22A246C5" w14:textId="14602C67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462" w:type="dxa"/>
          </w:tcPr>
          <w:p w14:paraId="4681BB59" w14:textId="31502DC7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32" w:type="dxa"/>
          </w:tcPr>
          <w:p w14:paraId="79FD1F9E" w14:textId="668FBD59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42" w:type="dxa"/>
          </w:tcPr>
          <w:p w14:paraId="7EB2EBE0" w14:textId="5E07A650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535A5">
              <w:rPr>
                <w:sz w:val="24"/>
                <w:szCs w:val="24"/>
              </w:rPr>
              <w:t>400,0</w:t>
            </w:r>
          </w:p>
        </w:tc>
      </w:tr>
      <w:tr w:rsidR="000D12DE" w:rsidRPr="00812713" w14:paraId="5F58382A" w14:textId="77777777" w:rsidTr="000D12DE">
        <w:tc>
          <w:tcPr>
            <w:tcW w:w="2023" w:type="dxa"/>
          </w:tcPr>
          <w:p w14:paraId="4D8718C0" w14:textId="77777777" w:rsidR="000D12DE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461" w:type="dxa"/>
          </w:tcPr>
          <w:p w14:paraId="52CD61B4" w14:textId="75E7E38F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1" w:type="dxa"/>
          </w:tcPr>
          <w:p w14:paraId="2C2A1C12" w14:textId="332C968A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2" w:type="dxa"/>
          </w:tcPr>
          <w:p w14:paraId="6683A4AB" w14:textId="77777777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635134EC" w14:textId="77777777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3D6824CA" w14:textId="77777777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12DE" w:rsidRPr="00172035" w14:paraId="7B858D01" w14:textId="77777777" w:rsidTr="000D12DE">
        <w:trPr>
          <w:trHeight w:val="142"/>
        </w:trPr>
        <w:tc>
          <w:tcPr>
            <w:tcW w:w="2023" w:type="dxa"/>
            <w:shd w:val="clear" w:color="auto" w:fill="F2B9A8" w:themeFill="accent6" w:themeFillTint="66"/>
          </w:tcPr>
          <w:p w14:paraId="566F9AD8" w14:textId="77777777" w:rsidR="000D12DE" w:rsidRPr="00172035" w:rsidRDefault="000D12DE" w:rsidP="000D12DE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1" w:type="dxa"/>
            <w:shd w:val="clear" w:color="auto" w:fill="F2B9A8" w:themeFill="accent6" w:themeFillTint="66"/>
          </w:tcPr>
          <w:p w14:paraId="1294266A" w14:textId="6EC045F4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2323,5</w:t>
            </w:r>
          </w:p>
        </w:tc>
        <w:tc>
          <w:tcPr>
            <w:tcW w:w="1431" w:type="dxa"/>
            <w:shd w:val="clear" w:color="auto" w:fill="F2B9A8" w:themeFill="accent6" w:themeFillTint="66"/>
          </w:tcPr>
          <w:p w14:paraId="58927118" w14:textId="35E3C1C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shd w:val="clear" w:color="auto" w:fill="F2B9A8" w:themeFill="accent6" w:themeFillTint="66"/>
          </w:tcPr>
          <w:p w14:paraId="05099597" w14:textId="33EE1266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432" w:type="dxa"/>
            <w:shd w:val="clear" w:color="auto" w:fill="F2B9A8" w:themeFill="accent6" w:themeFillTint="66"/>
          </w:tcPr>
          <w:p w14:paraId="5BBC7C99" w14:textId="7777777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904E301" w14:textId="47CBDF8E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535A5">
              <w:rPr>
                <w:b/>
                <w:sz w:val="24"/>
                <w:szCs w:val="24"/>
              </w:rPr>
              <w:t>1523,5</w:t>
            </w:r>
          </w:p>
        </w:tc>
      </w:tr>
    </w:tbl>
    <w:p w14:paraId="4D7F51EE" w14:textId="5B4447E7" w:rsidR="00615C41" w:rsidRDefault="00615C41" w:rsidP="00615C41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снизилась на </w:t>
      </w:r>
      <w:r w:rsidR="000535A5">
        <w:t>65,6</w:t>
      </w:r>
      <w:r>
        <w:t xml:space="preserve">%. </w:t>
      </w:r>
    </w:p>
    <w:p w14:paraId="2876E6F6" w14:textId="6A59ED53" w:rsidR="00615C41" w:rsidRDefault="00615C41" w:rsidP="00615C41">
      <w:pPr>
        <w:spacing w:line="360" w:lineRule="auto"/>
        <w:ind w:firstLine="709"/>
        <w:jc w:val="both"/>
      </w:pPr>
      <w:r>
        <w:lastRenderedPageBreak/>
        <w:t>Текущая задолженность по долговым обязательствам, по состоянию на 1 июля 202</w:t>
      </w:r>
      <w:r w:rsidR="000535A5">
        <w:t>2</w:t>
      </w:r>
      <w:r>
        <w:t xml:space="preserve"> года, составляет </w:t>
      </w:r>
      <w:r w:rsidR="000535A5">
        <w:t>800,0</w:t>
      </w:r>
      <w:r>
        <w:t xml:space="preserve"> тыс. рублей, в том числе:</w:t>
      </w:r>
    </w:p>
    <w:p w14:paraId="4457DE33" w14:textId="70082B30" w:rsidR="00615C41" w:rsidRPr="009A7F83" w:rsidRDefault="00615C41" w:rsidP="00615C4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Петровский сельсовет – </w:t>
      </w:r>
      <w:r w:rsidR="000535A5">
        <w:t>4</w:t>
      </w:r>
      <w:r w:rsidRPr="009A7F83">
        <w:t xml:space="preserve">00,0 тыс. рублей, </w:t>
      </w:r>
    </w:p>
    <w:p w14:paraId="79F41082" w14:textId="231763B2" w:rsidR="00615C41" w:rsidRPr="009A7F83" w:rsidRDefault="00615C41" w:rsidP="00615C4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Пушкинский сельсовет – </w:t>
      </w:r>
      <w:r w:rsidR="000535A5">
        <w:t>40</w:t>
      </w:r>
      <w:r w:rsidRPr="009A7F83">
        <w:t>0,0 тыс. рублей</w:t>
      </w:r>
      <w:r w:rsidR="000535A5">
        <w:t>.</w:t>
      </w:r>
    </w:p>
    <w:p w14:paraId="2A475823" w14:textId="0138D90E" w:rsidR="00615C41" w:rsidRDefault="00615C41" w:rsidP="00615C41">
      <w:pPr>
        <w:spacing w:line="360" w:lineRule="auto"/>
        <w:ind w:firstLine="709"/>
        <w:jc w:val="both"/>
      </w:pPr>
      <w:r>
        <w:t>В процессе исполнения бюджета за 6 месяцев 202</w:t>
      </w:r>
      <w:r w:rsidR="000535A5">
        <w:t>2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2BE885BD" w14:textId="069C3B97" w:rsidR="000535A5" w:rsidRDefault="000535A5" w:rsidP="000535A5">
      <w:pPr>
        <w:spacing w:line="360" w:lineRule="auto"/>
        <w:ind w:firstLine="567"/>
        <w:jc w:val="both"/>
      </w:pPr>
      <w:r>
        <w:t xml:space="preserve">По итогам исполнения бюджета за 2021 год по Пушкинскому сельскому поселению не соблюдены требования, установленные пунктом 4 статьи 106 Бюджетного кодекса РФ к предельному объему заимствований.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 и объемов погашения долговых обязательств муниципального образования на сумму 250,0 тыс. рублей. </w:t>
      </w:r>
    </w:p>
    <w:p w14:paraId="0E0D0EE9" w14:textId="72865EA6" w:rsidR="00615C41" w:rsidRPr="00B17498" w:rsidRDefault="00615C41" w:rsidP="00615C41">
      <w:pPr>
        <w:spacing w:line="360" w:lineRule="auto"/>
        <w:ind w:firstLine="709"/>
        <w:jc w:val="both"/>
        <w:rPr>
          <w:u w:val="single"/>
        </w:rPr>
      </w:pPr>
      <w:r w:rsidRPr="00B17498">
        <w:rPr>
          <w:u w:val="single"/>
        </w:rPr>
        <w:t>В соответствии с вышеуказанной статьей остатки средств местного бюджета в сумме указанного превышения</w:t>
      </w:r>
      <w:r w:rsidR="000535A5" w:rsidRPr="00B17498">
        <w:rPr>
          <w:u w:val="single"/>
        </w:rPr>
        <w:t xml:space="preserve"> должны</w:t>
      </w:r>
      <w:r w:rsidRPr="00B17498">
        <w:rPr>
          <w:u w:val="single"/>
        </w:rPr>
        <w:t xml:space="preserve"> были </w:t>
      </w:r>
      <w:r w:rsidR="00A64664" w:rsidRPr="00B17498">
        <w:rPr>
          <w:u w:val="single"/>
        </w:rPr>
        <w:t xml:space="preserve">быть </w:t>
      </w:r>
      <w:r w:rsidRPr="00B17498">
        <w:rPr>
          <w:u w:val="single"/>
        </w:rPr>
        <w:t>направлены на погашение бюджетных кредитов</w:t>
      </w:r>
      <w:r w:rsidR="00D9743A" w:rsidRPr="00B17498">
        <w:rPr>
          <w:u w:val="single"/>
        </w:rPr>
        <w:t>. Однако, по состоянию на 01.07.</w:t>
      </w:r>
      <w:r w:rsidRPr="00B17498">
        <w:rPr>
          <w:u w:val="single"/>
        </w:rPr>
        <w:t>202</w:t>
      </w:r>
      <w:r w:rsidR="00A64664" w:rsidRPr="00B17498">
        <w:rPr>
          <w:u w:val="single"/>
        </w:rPr>
        <w:t>2</w:t>
      </w:r>
      <w:r w:rsidRPr="00B17498">
        <w:rPr>
          <w:u w:val="single"/>
        </w:rPr>
        <w:t xml:space="preserve"> года</w:t>
      </w:r>
      <w:r w:rsidR="00D9743A" w:rsidRPr="00B17498">
        <w:rPr>
          <w:u w:val="single"/>
        </w:rPr>
        <w:t xml:space="preserve"> вышеуказанное требование не исполнено</w:t>
      </w:r>
      <w:r w:rsidRPr="00B17498">
        <w:rPr>
          <w:u w:val="single"/>
        </w:rPr>
        <w:t>.</w:t>
      </w:r>
    </w:p>
    <w:p w14:paraId="7F84B55C" w14:textId="093EAF30" w:rsidR="00E83A40" w:rsidRDefault="00E83A40" w:rsidP="00391DC2">
      <w:pPr>
        <w:spacing w:line="360" w:lineRule="auto"/>
        <w:ind w:firstLine="709"/>
        <w:jc w:val="both"/>
      </w:pPr>
    </w:p>
    <w:p w14:paraId="44D3699A" w14:textId="2185C306" w:rsidR="00D9743A" w:rsidRDefault="00D9743A" w:rsidP="00391DC2">
      <w:pPr>
        <w:spacing w:line="360" w:lineRule="auto"/>
        <w:ind w:firstLine="709"/>
        <w:jc w:val="both"/>
      </w:pPr>
    </w:p>
    <w:p w14:paraId="23977381" w14:textId="0436E9CB" w:rsidR="00B07371" w:rsidRDefault="00B07371" w:rsidP="00391DC2">
      <w:pPr>
        <w:spacing w:line="360" w:lineRule="auto"/>
        <w:ind w:firstLine="709"/>
        <w:jc w:val="both"/>
      </w:pPr>
    </w:p>
    <w:p w14:paraId="49B3C0A0" w14:textId="0FF19697" w:rsidR="00B07371" w:rsidRDefault="00B07371" w:rsidP="00391DC2">
      <w:pPr>
        <w:spacing w:line="360" w:lineRule="auto"/>
        <w:ind w:firstLine="709"/>
        <w:jc w:val="both"/>
      </w:pPr>
    </w:p>
    <w:p w14:paraId="422AD7E0" w14:textId="00A88EFC" w:rsidR="00B07371" w:rsidRDefault="00B07371" w:rsidP="00391DC2">
      <w:pPr>
        <w:spacing w:line="360" w:lineRule="auto"/>
        <w:ind w:firstLine="709"/>
        <w:jc w:val="both"/>
      </w:pPr>
    </w:p>
    <w:p w14:paraId="5D820E85" w14:textId="77777777" w:rsidR="00B07371" w:rsidRDefault="00B07371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sectPr w:rsidR="00FF10EE" w:rsidRPr="00B1585D" w:rsidSect="00F71DA5">
      <w:footerReference w:type="default" r:id="rId1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2896" w14:textId="77777777" w:rsidR="00B3490F" w:rsidRDefault="00B3490F" w:rsidP="003E786C">
      <w:r>
        <w:separator/>
      </w:r>
    </w:p>
  </w:endnote>
  <w:endnote w:type="continuationSeparator" w:id="0">
    <w:p w14:paraId="25C01628" w14:textId="77777777" w:rsidR="00B3490F" w:rsidRDefault="00B3490F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1A49F9" w:rsidRDefault="001A4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1A49F9" w:rsidRDefault="001A4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9B69" w14:textId="77777777" w:rsidR="00B3490F" w:rsidRDefault="00B3490F" w:rsidP="003E786C">
      <w:r>
        <w:separator/>
      </w:r>
    </w:p>
  </w:footnote>
  <w:footnote w:type="continuationSeparator" w:id="0">
    <w:p w14:paraId="0E084E66" w14:textId="77777777" w:rsidR="00B3490F" w:rsidRDefault="00B3490F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FD2"/>
    <w:multiLevelType w:val="hybridMultilevel"/>
    <w:tmpl w:val="A5EE2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5515565">
    <w:abstractNumId w:val="2"/>
  </w:num>
  <w:num w:numId="2" w16cid:durableId="780342602">
    <w:abstractNumId w:val="1"/>
  </w:num>
  <w:num w:numId="3" w16cid:durableId="835876041">
    <w:abstractNumId w:val="3"/>
  </w:num>
  <w:num w:numId="4" w16cid:durableId="1764571152">
    <w:abstractNumId w:val="0"/>
  </w:num>
  <w:num w:numId="5" w16cid:durableId="80793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494"/>
    <w:rsid w:val="00016A39"/>
    <w:rsid w:val="000223E7"/>
    <w:rsid w:val="00025320"/>
    <w:rsid w:val="00030703"/>
    <w:rsid w:val="00035351"/>
    <w:rsid w:val="00036FDD"/>
    <w:rsid w:val="00045F7C"/>
    <w:rsid w:val="000514DD"/>
    <w:rsid w:val="000535A5"/>
    <w:rsid w:val="000615F2"/>
    <w:rsid w:val="00062F00"/>
    <w:rsid w:val="0007338C"/>
    <w:rsid w:val="000857C5"/>
    <w:rsid w:val="00086F83"/>
    <w:rsid w:val="00087356"/>
    <w:rsid w:val="0009263B"/>
    <w:rsid w:val="00092F1E"/>
    <w:rsid w:val="0009583C"/>
    <w:rsid w:val="00097500"/>
    <w:rsid w:val="000A08AF"/>
    <w:rsid w:val="000A1C36"/>
    <w:rsid w:val="000B1EB8"/>
    <w:rsid w:val="000B4386"/>
    <w:rsid w:val="000C231B"/>
    <w:rsid w:val="000C2EDC"/>
    <w:rsid w:val="000C413B"/>
    <w:rsid w:val="000C5F71"/>
    <w:rsid w:val="000C761E"/>
    <w:rsid w:val="000D12DE"/>
    <w:rsid w:val="000D4690"/>
    <w:rsid w:val="000D4F94"/>
    <w:rsid w:val="000D67E1"/>
    <w:rsid w:val="000E03CC"/>
    <w:rsid w:val="000F31FD"/>
    <w:rsid w:val="000F47B2"/>
    <w:rsid w:val="00106DC9"/>
    <w:rsid w:val="00122876"/>
    <w:rsid w:val="00125754"/>
    <w:rsid w:val="00125E36"/>
    <w:rsid w:val="00130C67"/>
    <w:rsid w:val="001317E3"/>
    <w:rsid w:val="00142F5A"/>
    <w:rsid w:val="00144CA5"/>
    <w:rsid w:val="0014783F"/>
    <w:rsid w:val="001527A9"/>
    <w:rsid w:val="00155C7C"/>
    <w:rsid w:val="00156E06"/>
    <w:rsid w:val="00163E58"/>
    <w:rsid w:val="001644EC"/>
    <w:rsid w:val="001647E8"/>
    <w:rsid w:val="00164F3E"/>
    <w:rsid w:val="001659F7"/>
    <w:rsid w:val="00165A78"/>
    <w:rsid w:val="001668D3"/>
    <w:rsid w:val="001714FF"/>
    <w:rsid w:val="00172035"/>
    <w:rsid w:val="00176734"/>
    <w:rsid w:val="00177F11"/>
    <w:rsid w:val="0018607B"/>
    <w:rsid w:val="00194C1C"/>
    <w:rsid w:val="001A2D73"/>
    <w:rsid w:val="001A49F9"/>
    <w:rsid w:val="001B2684"/>
    <w:rsid w:val="001C1B80"/>
    <w:rsid w:val="001C3292"/>
    <w:rsid w:val="001D3B9C"/>
    <w:rsid w:val="001D598D"/>
    <w:rsid w:val="001D5A62"/>
    <w:rsid w:val="001D691A"/>
    <w:rsid w:val="001D6951"/>
    <w:rsid w:val="001E1CF5"/>
    <w:rsid w:val="001E26EF"/>
    <w:rsid w:val="001E598C"/>
    <w:rsid w:val="001E6CD5"/>
    <w:rsid w:val="001F115E"/>
    <w:rsid w:val="00222FA2"/>
    <w:rsid w:val="002241B0"/>
    <w:rsid w:val="00243A78"/>
    <w:rsid w:val="002543A2"/>
    <w:rsid w:val="00256DD1"/>
    <w:rsid w:val="002575AA"/>
    <w:rsid w:val="002649E9"/>
    <w:rsid w:val="0027314A"/>
    <w:rsid w:val="002742BE"/>
    <w:rsid w:val="00275C7A"/>
    <w:rsid w:val="0029005E"/>
    <w:rsid w:val="002916F1"/>
    <w:rsid w:val="002925F7"/>
    <w:rsid w:val="002937CF"/>
    <w:rsid w:val="00294429"/>
    <w:rsid w:val="0029702F"/>
    <w:rsid w:val="002B6E88"/>
    <w:rsid w:val="002C2962"/>
    <w:rsid w:val="002C4521"/>
    <w:rsid w:val="002C5BC0"/>
    <w:rsid w:val="002C5D0E"/>
    <w:rsid w:val="002D2AB6"/>
    <w:rsid w:val="002D573C"/>
    <w:rsid w:val="002E03E2"/>
    <w:rsid w:val="002E0C65"/>
    <w:rsid w:val="002F1584"/>
    <w:rsid w:val="002F2152"/>
    <w:rsid w:val="002F61BA"/>
    <w:rsid w:val="003005CB"/>
    <w:rsid w:val="00311AF5"/>
    <w:rsid w:val="003148F7"/>
    <w:rsid w:val="003161FE"/>
    <w:rsid w:val="00316C4D"/>
    <w:rsid w:val="00323734"/>
    <w:rsid w:val="0032680C"/>
    <w:rsid w:val="00327A44"/>
    <w:rsid w:val="00334648"/>
    <w:rsid w:val="00335DFC"/>
    <w:rsid w:val="003368D4"/>
    <w:rsid w:val="00337E92"/>
    <w:rsid w:val="00354212"/>
    <w:rsid w:val="00355EB0"/>
    <w:rsid w:val="00356C70"/>
    <w:rsid w:val="00360785"/>
    <w:rsid w:val="003649AA"/>
    <w:rsid w:val="003679C2"/>
    <w:rsid w:val="00374EFC"/>
    <w:rsid w:val="00375D68"/>
    <w:rsid w:val="00377B77"/>
    <w:rsid w:val="00381211"/>
    <w:rsid w:val="0038299F"/>
    <w:rsid w:val="00385657"/>
    <w:rsid w:val="00391DC2"/>
    <w:rsid w:val="00394753"/>
    <w:rsid w:val="00395F33"/>
    <w:rsid w:val="00395F6E"/>
    <w:rsid w:val="003A7325"/>
    <w:rsid w:val="003B0100"/>
    <w:rsid w:val="003B166F"/>
    <w:rsid w:val="003B7F50"/>
    <w:rsid w:val="003B7F71"/>
    <w:rsid w:val="003C5DAF"/>
    <w:rsid w:val="003D0D8D"/>
    <w:rsid w:val="003D1080"/>
    <w:rsid w:val="003D6E33"/>
    <w:rsid w:val="003E1439"/>
    <w:rsid w:val="003E546F"/>
    <w:rsid w:val="003E786C"/>
    <w:rsid w:val="003E7896"/>
    <w:rsid w:val="003F1BB3"/>
    <w:rsid w:val="003F1DE5"/>
    <w:rsid w:val="003F40D1"/>
    <w:rsid w:val="0041376F"/>
    <w:rsid w:val="00431B83"/>
    <w:rsid w:val="0043630D"/>
    <w:rsid w:val="00443404"/>
    <w:rsid w:val="00443D31"/>
    <w:rsid w:val="00451CCE"/>
    <w:rsid w:val="00454B7D"/>
    <w:rsid w:val="004836C5"/>
    <w:rsid w:val="004A0583"/>
    <w:rsid w:val="004A09E6"/>
    <w:rsid w:val="004A10CE"/>
    <w:rsid w:val="004A170E"/>
    <w:rsid w:val="004A33B3"/>
    <w:rsid w:val="004B158A"/>
    <w:rsid w:val="004B1898"/>
    <w:rsid w:val="004B3A3C"/>
    <w:rsid w:val="004B4648"/>
    <w:rsid w:val="004C39FE"/>
    <w:rsid w:val="004C63ED"/>
    <w:rsid w:val="004D184C"/>
    <w:rsid w:val="004D497A"/>
    <w:rsid w:val="004D6891"/>
    <w:rsid w:val="004E0CF9"/>
    <w:rsid w:val="004E5267"/>
    <w:rsid w:val="004E698C"/>
    <w:rsid w:val="004F1091"/>
    <w:rsid w:val="004F1CF9"/>
    <w:rsid w:val="004F501D"/>
    <w:rsid w:val="00502162"/>
    <w:rsid w:val="0051149A"/>
    <w:rsid w:val="00512575"/>
    <w:rsid w:val="00514FF5"/>
    <w:rsid w:val="00516ADF"/>
    <w:rsid w:val="00520AFC"/>
    <w:rsid w:val="00522996"/>
    <w:rsid w:val="00523E0E"/>
    <w:rsid w:val="00534F23"/>
    <w:rsid w:val="0054212F"/>
    <w:rsid w:val="0055496D"/>
    <w:rsid w:val="00555294"/>
    <w:rsid w:val="00557868"/>
    <w:rsid w:val="00580F01"/>
    <w:rsid w:val="00587B6D"/>
    <w:rsid w:val="0059414A"/>
    <w:rsid w:val="005B743D"/>
    <w:rsid w:val="005C51AF"/>
    <w:rsid w:val="005C6FF3"/>
    <w:rsid w:val="005D507A"/>
    <w:rsid w:val="005D7602"/>
    <w:rsid w:val="005E0344"/>
    <w:rsid w:val="005E1034"/>
    <w:rsid w:val="005E2F56"/>
    <w:rsid w:val="005E739F"/>
    <w:rsid w:val="005F6E83"/>
    <w:rsid w:val="005F7058"/>
    <w:rsid w:val="00601029"/>
    <w:rsid w:val="00603266"/>
    <w:rsid w:val="006041E3"/>
    <w:rsid w:val="00615598"/>
    <w:rsid w:val="00615C41"/>
    <w:rsid w:val="0062769B"/>
    <w:rsid w:val="00636CDA"/>
    <w:rsid w:val="00643A82"/>
    <w:rsid w:val="006472F3"/>
    <w:rsid w:val="00647633"/>
    <w:rsid w:val="006512C3"/>
    <w:rsid w:val="00652D3F"/>
    <w:rsid w:val="00653547"/>
    <w:rsid w:val="00655BA1"/>
    <w:rsid w:val="00664E73"/>
    <w:rsid w:val="00666748"/>
    <w:rsid w:val="00666C0C"/>
    <w:rsid w:val="00683F27"/>
    <w:rsid w:val="006A3C58"/>
    <w:rsid w:val="006A5569"/>
    <w:rsid w:val="006B0585"/>
    <w:rsid w:val="006B09D1"/>
    <w:rsid w:val="006B6CAA"/>
    <w:rsid w:val="006D55CD"/>
    <w:rsid w:val="006E0BA7"/>
    <w:rsid w:val="006F4AD0"/>
    <w:rsid w:val="006F6111"/>
    <w:rsid w:val="0070493B"/>
    <w:rsid w:val="007142EE"/>
    <w:rsid w:val="007143A9"/>
    <w:rsid w:val="00715CF3"/>
    <w:rsid w:val="0072424F"/>
    <w:rsid w:val="007268A4"/>
    <w:rsid w:val="00741023"/>
    <w:rsid w:val="00741CD5"/>
    <w:rsid w:val="00742A75"/>
    <w:rsid w:val="0074379E"/>
    <w:rsid w:val="007525DC"/>
    <w:rsid w:val="00760289"/>
    <w:rsid w:val="007640C2"/>
    <w:rsid w:val="00765953"/>
    <w:rsid w:val="0076624D"/>
    <w:rsid w:val="00766E38"/>
    <w:rsid w:val="00772379"/>
    <w:rsid w:val="0078074D"/>
    <w:rsid w:val="00790DA2"/>
    <w:rsid w:val="0079125E"/>
    <w:rsid w:val="007A42EE"/>
    <w:rsid w:val="007A7F45"/>
    <w:rsid w:val="007B3823"/>
    <w:rsid w:val="007B7D10"/>
    <w:rsid w:val="007B7D3F"/>
    <w:rsid w:val="007C2035"/>
    <w:rsid w:val="007C3BFD"/>
    <w:rsid w:val="007C692E"/>
    <w:rsid w:val="007D15EE"/>
    <w:rsid w:val="007D1905"/>
    <w:rsid w:val="007D1FAF"/>
    <w:rsid w:val="007D24B0"/>
    <w:rsid w:val="007D5CF7"/>
    <w:rsid w:val="007D7256"/>
    <w:rsid w:val="007E1DE8"/>
    <w:rsid w:val="007E4940"/>
    <w:rsid w:val="007E4ABE"/>
    <w:rsid w:val="007E7A10"/>
    <w:rsid w:val="007F0CD9"/>
    <w:rsid w:val="007F41D9"/>
    <w:rsid w:val="00811A31"/>
    <w:rsid w:val="00812713"/>
    <w:rsid w:val="00813100"/>
    <w:rsid w:val="00824FCD"/>
    <w:rsid w:val="0084610A"/>
    <w:rsid w:val="00847FA9"/>
    <w:rsid w:val="00850069"/>
    <w:rsid w:val="0085086C"/>
    <w:rsid w:val="00856764"/>
    <w:rsid w:val="00857BDA"/>
    <w:rsid w:val="00857F53"/>
    <w:rsid w:val="00864162"/>
    <w:rsid w:val="0087204D"/>
    <w:rsid w:val="008722C3"/>
    <w:rsid w:val="00880BE5"/>
    <w:rsid w:val="008862A1"/>
    <w:rsid w:val="008862AA"/>
    <w:rsid w:val="008909E2"/>
    <w:rsid w:val="0089390D"/>
    <w:rsid w:val="00895136"/>
    <w:rsid w:val="008A5042"/>
    <w:rsid w:val="008B183D"/>
    <w:rsid w:val="008B6852"/>
    <w:rsid w:val="008C02AA"/>
    <w:rsid w:val="008C49D2"/>
    <w:rsid w:val="008D03FB"/>
    <w:rsid w:val="008D15E7"/>
    <w:rsid w:val="008D27CF"/>
    <w:rsid w:val="008D315D"/>
    <w:rsid w:val="008E7608"/>
    <w:rsid w:val="008F101A"/>
    <w:rsid w:val="008F270F"/>
    <w:rsid w:val="008F6BB0"/>
    <w:rsid w:val="00900F7F"/>
    <w:rsid w:val="00905990"/>
    <w:rsid w:val="00905EFC"/>
    <w:rsid w:val="009064BE"/>
    <w:rsid w:val="00907294"/>
    <w:rsid w:val="0091028F"/>
    <w:rsid w:val="00913A7B"/>
    <w:rsid w:val="00915252"/>
    <w:rsid w:val="0093087D"/>
    <w:rsid w:val="00932747"/>
    <w:rsid w:val="00933E48"/>
    <w:rsid w:val="00941393"/>
    <w:rsid w:val="0095321B"/>
    <w:rsid w:val="00954FB5"/>
    <w:rsid w:val="00955803"/>
    <w:rsid w:val="0096588B"/>
    <w:rsid w:val="009676EC"/>
    <w:rsid w:val="009713FE"/>
    <w:rsid w:val="00971720"/>
    <w:rsid w:val="00973B3E"/>
    <w:rsid w:val="00974196"/>
    <w:rsid w:val="009741A6"/>
    <w:rsid w:val="00987513"/>
    <w:rsid w:val="00987A91"/>
    <w:rsid w:val="00993547"/>
    <w:rsid w:val="00997386"/>
    <w:rsid w:val="009A770F"/>
    <w:rsid w:val="009B5A6F"/>
    <w:rsid w:val="009C2E25"/>
    <w:rsid w:val="009C62D7"/>
    <w:rsid w:val="009D1954"/>
    <w:rsid w:val="009D7D14"/>
    <w:rsid w:val="009E0A08"/>
    <w:rsid w:val="009E5456"/>
    <w:rsid w:val="009E6783"/>
    <w:rsid w:val="009F0F95"/>
    <w:rsid w:val="009F7A59"/>
    <w:rsid w:val="00A051B4"/>
    <w:rsid w:val="00A068FF"/>
    <w:rsid w:val="00A07964"/>
    <w:rsid w:val="00A13F6B"/>
    <w:rsid w:val="00A156B8"/>
    <w:rsid w:val="00A17E32"/>
    <w:rsid w:val="00A26FA8"/>
    <w:rsid w:val="00A33A7D"/>
    <w:rsid w:val="00A36406"/>
    <w:rsid w:val="00A41CEC"/>
    <w:rsid w:val="00A436E8"/>
    <w:rsid w:val="00A4493F"/>
    <w:rsid w:val="00A548B9"/>
    <w:rsid w:val="00A6068F"/>
    <w:rsid w:val="00A608FE"/>
    <w:rsid w:val="00A643D1"/>
    <w:rsid w:val="00A64664"/>
    <w:rsid w:val="00A707A3"/>
    <w:rsid w:val="00AA0883"/>
    <w:rsid w:val="00AB6A2A"/>
    <w:rsid w:val="00AC2BE8"/>
    <w:rsid w:val="00AD691C"/>
    <w:rsid w:val="00AE21F5"/>
    <w:rsid w:val="00AE52BA"/>
    <w:rsid w:val="00AE765E"/>
    <w:rsid w:val="00B07371"/>
    <w:rsid w:val="00B07E60"/>
    <w:rsid w:val="00B10D1D"/>
    <w:rsid w:val="00B13F6F"/>
    <w:rsid w:val="00B1585D"/>
    <w:rsid w:val="00B17498"/>
    <w:rsid w:val="00B21C56"/>
    <w:rsid w:val="00B21CD2"/>
    <w:rsid w:val="00B24AFD"/>
    <w:rsid w:val="00B26ECA"/>
    <w:rsid w:val="00B30883"/>
    <w:rsid w:val="00B3171A"/>
    <w:rsid w:val="00B3385A"/>
    <w:rsid w:val="00B33ED4"/>
    <w:rsid w:val="00B3490F"/>
    <w:rsid w:val="00B3681C"/>
    <w:rsid w:val="00B3735E"/>
    <w:rsid w:val="00B41A5C"/>
    <w:rsid w:val="00B41EC8"/>
    <w:rsid w:val="00B41F65"/>
    <w:rsid w:val="00B4482D"/>
    <w:rsid w:val="00B61599"/>
    <w:rsid w:val="00B66881"/>
    <w:rsid w:val="00B8377F"/>
    <w:rsid w:val="00BA59B8"/>
    <w:rsid w:val="00BB316C"/>
    <w:rsid w:val="00BD00D5"/>
    <w:rsid w:val="00BD04C4"/>
    <w:rsid w:val="00BD5375"/>
    <w:rsid w:val="00BE1972"/>
    <w:rsid w:val="00BE2580"/>
    <w:rsid w:val="00BF293F"/>
    <w:rsid w:val="00BF37F0"/>
    <w:rsid w:val="00BF768E"/>
    <w:rsid w:val="00C001E0"/>
    <w:rsid w:val="00C037CF"/>
    <w:rsid w:val="00C1690C"/>
    <w:rsid w:val="00C20175"/>
    <w:rsid w:val="00C23569"/>
    <w:rsid w:val="00C33126"/>
    <w:rsid w:val="00C46423"/>
    <w:rsid w:val="00C46EEF"/>
    <w:rsid w:val="00C479C3"/>
    <w:rsid w:val="00C501FF"/>
    <w:rsid w:val="00C53E88"/>
    <w:rsid w:val="00C54B3D"/>
    <w:rsid w:val="00C57F3B"/>
    <w:rsid w:val="00C61BDA"/>
    <w:rsid w:val="00C62BB6"/>
    <w:rsid w:val="00C66C57"/>
    <w:rsid w:val="00C66DE6"/>
    <w:rsid w:val="00C72A0C"/>
    <w:rsid w:val="00C763BF"/>
    <w:rsid w:val="00C768CC"/>
    <w:rsid w:val="00C8364B"/>
    <w:rsid w:val="00C9035B"/>
    <w:rsid w:val="00C95E1B"/>
    <w:rsid w:val="00CA10DA"/>
    <w:rsid w:val="00CA1993"/>
    <w:rsid w:val="00CA23E3"/>
    <w:rsid w:val="00CA5627"/>
    <w:rsid w:val="00CC5EF5"/>
    <w:rsid w:val="00CC64C9"/>
    <w:rsid w:val="00CD1E5E"/>
    <w:rsid w:val="00CD5454"/>
    <w:rsid w:val="00CE3FB1"/>
    <w:rsid w:val="00CE71CE"/>
    <w:rsid w:val="00D05A27"/>
    <w:rsid w:val="00D11ED0"/>
    <w:rsid w:val="00D146D0"/>
    <w:rsid w:val="00D17BE5"/>
    <w:rsid w:val="00D20950"/>
    <w:rsid w:val="00D260F3"/>
    <w:rsid w:val="00D27692"/>
    <w:rsid w:val="00D33B05"/>
    <w:rsid w:val="00D4140D"/>
    <w:rsid w:val="00D421B8"/>
    <w:rsid w:val="00D42F58"/>
    <w:rsid w:val="00D5378D"/>
    <w:rsid w:val="00D53BD8"/>
    <w:rsid w:val="00D63016"/>
    <w:rsid w:val="00D71143"/>
    <w:rsid w:val="00D71A2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9197B"/>
    <w:rsid w:val="00D9743A"/>
    <w:rsid w:val="00DA1408"/>
    <w:rsid w:val="00DA5CB3"/>
    <w:rsid w:val="00DD06F2"/>
    <w:rsid w:val="00DD4A66"/>
    <w:rsid w:val="00DF4704"/>
    <w:rsid w:val="00E04C40"/>
    <w:rsid w:val="00E04D6E"/>
    <w:rsid w:val="00E06F91"/>
    <w:rsid w:val="00E12D9E"/>
    <w:rsid w:val="00E176D3"/>
    <w:rsid w:val="00E2244D"/>
    <w:rsid w:val="00E31907"/>
    <w:rsid w:val="00E45569"/>
    <w:rsid w:val="00E54032"/>
    <w:rsid w:val="00E56E3F"/>
    <w:rsid w:val="00E616BA"/>
    <w:rsid w:val="00E67B76"/>
    <w:rsid w:val="00E70647"/>
    <w:rsid w:val="00E754AF"/>
    <w:rsid w:val="00E75D67"/>
    <w:rsid w:val="00E8031E"/>
    <w:rsid w:val="00E814EC"/>
    <w:rsid w:val="00E83A40"/>
    <w:rsid w:val="00E86A59"/>
    <w:rsid w:val="00E87548"/>
    <w:rsid w:val="00E90BE7"/>
    <w:rsid w:val="00E915C3"/>
    <w:rsid w:val="00E9665A"/>
    <w:rsid w:val="00EA0772"/>
    <w:rsid w:val="00EA119C"/>
    <w:rsid w:val="00EA1A8A"/>
    <w:rsid w:val="00EB4914"/>
    <w:rsid w:val="00EB4E8E"/>
    <w:rsid w:val="00EB5FA4"/>
    <w:rsid w:val="00EC20B5"/>
    <w:rsid w:val="00ED41DD"/>
    <w:rsid w:val="00ED7119"/>
    <w:rsid w:val="00EE1198"/>
    <w:rsid w:val="00EF03FC"/>
    <w:rsid w:val="00EF78F7"/>
    <w:rsid w:val="00F01F76"/>
    <w:rsid w:val="00F0565F"/>
    <w:rsid w:val="00F05B8F"/>
    <w:rsid w:val="00F22B77"/>
    <w:rsid w:val="00F464BB"/>
    <w:rsid w:val="00F549C4"/>
    <w:rsid w:val="00F65160"/>
    <w:rsid w:val="00F65C01"/>
    <w:rsid w:val="00F71D49"/>
    <w:rsid w:val="00F71DA5"/>
    <w:rsid w:val="00F73B30"/>
    <w:rsid w:val="00F828B9"/>
    <w:rsid w:val="00F86870"/>
    <w:rsid w:val="00F874A8"/>
    <w:rsid w:val="00F9095E"/>
    <w:rsid w:val="00F91002"/>
    <w:rsid w:val="00FA696C"/>
    <w:rsid w:val="00FB51EB"/>
    <w:rsid w:val="00FB709A"/>
    <w:rsid w:val="00FC3453"/>
    <w:rsid w:val="00FD01EA"/>
    <w:rsid w:val="00FE1325"/>
    <w:rsid w:val="00FE2BFA"/>
    <w:rsid w:val="00FE59C0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42A75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customStyle="1" w:styleId="60">
    <w:name w:val="Заголовок 6 Знак"/>
    <w:basedOn w:val="a0"/>
    <w:link w:val="6"/>
    <w:rsid w:val="00742A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AC-4097-AC6E-93563786199E}"/>
                </c:ext>
              </c:extLst>
            </c:dLbl>
            <c:dLbl>
              <c:idx val="2"/>
              <c:layout>
                <c:manualLayout>
                  <c:x val="-6.7516354381949542E-2"/>
                  <c:y val="-0.133018236710048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AC-4097-AC6E-9356378619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на 01.04.2022</c:v>
                </c:pt>
                <c:pt idx="2">
                  <c:v>на 01.07.2022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961660.3</c:v>
                </c:pt>
                <c:pt idx="1">
                  <c:v>1060702.5</c:v>
                </c:pt>
                <c:pt idx="2">
                  <c:v>1087177.8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AC-4097-AC6E-9356378619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-6.5347156984986415E-2"/>
                  <c:y val="0.16231855085471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AC-4097-AC6E-9356378619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на 01.04.2022</c:v>
                </c:pt>
                <c:pt idx="2">
                  <c:v>на 01.07.2022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961660.3</c:v>
                </c:pt>
                <c:pt idx="1">
                  <c:v>1151210.7</c:v>
                </c:pt>
                <c:pt idx="2">
                  <c:v>1195238.5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AC-4097-AC6E-93563786199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26.5</c:v>
                </c:pt>
                <c:pt idx="1">
                  <c:v>11.1</c:v>
                </c:pt>
                <c:pt idx="2">
                  <c:v>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28.4</c:v>
                </c:pt>
                <c:pt idx="1">
                  <c:v>12.9</c:v>
                </c:pt>
                <c:pt idx="2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24.2</c:v>
                </c:pt>
                <c:pt idx="1">
                  <c:v>16.600000000000001</c:v>
                </c:pt>
                <c:pt idx="2">
                  <c:v>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37</c:v>
                </c:pt>
                <c:pt idx="1">
                  <c:v>15.5</c:v>
                </c:pt>
                <c:pt idx="2">
                  <c:v>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0-410D-9017-2AEFDF6B2CC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17.899999999999999</c:v>
                </c:pt>
                <c:pt idx="1">
                  <c:v>17.2</c:v>
                </c:pt>
                <c:pt idx="2">
                  <c:v>64.900000000000006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5-4404-9573-67F7336EA8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20466918842667"/>
          <c:y val="0.1125667879637344"/>
          <c:w val="0.85979533081157333"/>
          <c:h val="0.5535771234740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1.1000000000000001</c:v>
                </c:pt>
                <c:pt idx="2">
                  <c:v>11.6</c:v>
                </c:pt>
                <c:pt idx="3">
                  <c:v>8.9</c:v>
                </c:pt>
                <c:pt idx="4">
                  <c:v>54.1</c:v>
                </c:pt>
                <c:pt idx="5">
                  <c:v>9.1</c:v>
                </c:pt>
                <c:pt idx="6">
                  <c:v>4.8</c:v>
                </c:pt>
                <c:pt idx="7">
                  <c:v>0.2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285241196600072E-2"/>
                  <c:y val="-3.326205749584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00-41F3-B951-8885953405F0}"/>
                </c:ext>
              </c:extLst>
            </c:dLbl>
            <c:dLbl>
              <c:idx val="4"/>
              <c:layout>
                <c:manualLayout>
                  <c:x val="-2.8700739595981895E-2"/>
                  <c:y val="2.177847653545829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14.9</c:v>
                </c:pt>
                <c:pt idx="1">
                  <c:v>1.1000000000000001</c:v>
                </c:pt>
                <c:pt idx="2">
                  <c:v>4.5</c:v>
                </c:pt>
                <c:pt idx="3">
                  <c:v>0.1</c:v>
                </c:pt>
                <c:pt idx="4">
                  <c:v>79.400000000000006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7586124970303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00-41F3-B951-8885953405F0}"/>
                </c:ext>
              </c:extLst>
            </c:dLbl>
            <c:dLbl>
              <c:idx val="1"/>
              <c:layout>
                <c:manualLayout>
                  <c:x val="-2.207749199690915E-3"/>
                  <c:y val="-4.2765502494654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00-41F3-B951-8885953405F0}"/>
                </c:ext>
              </c:extLst>
            </c:dLbl>
            <c:dLbl>
              <c:idx val="4"/>
              <c:layout>
                <c:manualLayout>
                  <c:x val="-1.1038745998454575E-2"/>
                  <c:y val="-7.1275837491090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10.7</c:v>
                </c:pt>
                <c:pt idx="1">
                  <c:v>1.5</c:v>
                </c:pt>
                <c:pt idx="2">
                  <c:v>4.9000000000000004</c:v>
                </c:pt>
                <c:pt idx="3">
                  <c:v>1.3</c:v>
                </c:pt>
                <c:pt idx="4">
                  <c:v>81.599999999999994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1549839938183E-3"/>
                  <c:y val="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00-41F3-B951-8885953405F0}"/>
                </c:ext>
              </c:extLst>
            </c:dLbl>
            <c:dLbl>
              <c:idx val="1"/>
              <c:layout>
                <c:manualLayout>
                  <c:x val="-4.0474934424437112E-17"/>
                  <c:y val="-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00-41F3-B951-8885953405F0}"/>
                </c:ext>
              </c:extLst>
            </c:dLbl>
            <c:dLbl>
              <c:idx val="4"/>
              <c:layout>
                <c:manualLayout>
                  <c:x val="1.1038745998454414E-2"/>
                  <c:y val="-1.4255167498218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9.1</c:v>
                </c:pt>
                <c:pt idx="1">
                  <c:v>1.1000000000000001</c:v>
                </c:pt>
                <c:pt idx="2">
                  <c:v>3.4</c:v>
                </c:pt>
                <c:pt idx="3">
                  <c:v>3.3</c:v>
                </c:pt>
                <c:pt idx="4">
                  <c:v>83.1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2-4842-A60F-9D177225B0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1.1000000000000001</c:v>
                </c:pt>
                <c:pt idx="2">
                  <c:v>11.6</c:v>
                </c:pt>
                <c:pt idx="3">
                  <c:v>8.9</c:v>
                </c:pt>
                <c:pt idx="4">
                  <c:v>68.599999999999994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0-41F3-B951-8885953405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Доходные источники бюджетов сельских поселений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0.14722222222222223"/>
          <c:w val="0.9190529308836396"/>
          <c:h val="0.68191663542057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3.4</c:v>
                </c:pt>
                <c:pt idx="2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C-4069-94BF-B11BE2777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1.9</c:v>
                </c:pt>
                <c:pt idx="2">
                  <c:v>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C-4069-94BF-B11BE2777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34.299999999999997</c:v>
                </c:pt>
                <c:pt idx="1">
                  <c:v>2.7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C-4069-94BF-B11BE27771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53.6</c:v>
                </c:pt>
                <c:pt idx="1">
                  <c:v>3.1</c:v>
                </c:pt>
                <c:pt idx="2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1C-4069-94BF-B11BE27771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47.6</c:v>
                </c:pt>
                <c:pt idx="1">
                  <c:v>5.3</c:v>
                </c:pt>
                <c:pt idx="2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1C-4069-94BF-B11BE2777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8342400"/>
        <c:axId val="468344696"/>
      </c:barChart>
      <c:catAx>
        <c:axId val="4683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344696"/>
        <c:crosses val="autoZero"/>
        <c:auto val="1"/>
        <c:lblAlgn val="ctr"/>
        <c:lblOffset val="100"/>
        <c:noMultiLvlLbl val="0"/>
      </c:catAx>
      <c:valAx>
        <c:axId val="46834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34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77.900000000000006</c:v>
                </c:pt>
                <c:pt idx="1">
                  <c:v>48.7</c:v>
                </c:pt>
                <c:pt idx="2">
                  <c:v>46.3</c:v>
                </c:pt>
                <c:pt idx="3">
                  <c:v>59.8</c:v>
                </c:pt>
                <c:pt idx="4">
                  <c:v>66.599999999999994</c:v>
                </c:pt>
                <c:pt idx="5">
                  <c:v>70.2</c:v>
                </c:pt>
                <c:pt idx="6">
                  <c:v>52.5</c:v>
                </c:pt>
                <c:pt idx="7">
                  <c:v>22.2</c:v>
                </c:pt>
                <c:pt idx="8">
                  <c:v>26.6</c:v>
                </c:pt>
                <c:pt idx="9">
                  <c:v>59.8</c:v>
                </c:pt>
                <c:pt idx="10">
                  <c:v>25.6</c:v>
                </c:pt>
                <c:pt idx="11">
                  <c:v>66.599999999999994</c:v>
                </c:pt>
                <c:pt idx="12">
                  <c:v>36.4</c:v>
                </c:pt>
                <c:pt idx="13">
                  <c:v>50.1</c:v>
                </c:pt>
                <c:pt idx="14">
                  <c:v>44.9</c:v>
                </c:pt>
                <c:pt idx="15">
                  <c:v>53.7</c:v>
                </c:pt>
                <c:pt idx="16">
                  <c:v>56.1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7382549704884585"/>
          <c:y val="3.65853658536585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00721279320392"/>
          <c:y val="2.6070994174508675E-2"/>
          <c:w val="0.8545850315960154"/>
          <c:h val="0.786884890862119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6430469441983849E-3"/>
                  <c:y val="-1.648804616652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37-41F1-855E-BFB65DED5168}"/>
                </c:ext>
              </c:extLst>
            </c:dLbl>
            <c:dLbl>
              <c:idx val="1"/>
              <c:layout>
                <c:manualLayout>
                  <c:x val="0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37-41F1-855E-BFB65DED5168}"/>
                </c:ext>
              </c:extLst>
            </c:dLbl>
            <c:dLbl>
              <c:idx val="2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37-41F1-855E-BFB65DED5168}"/>
                </c:ext>
              </c:extLst>
            </c:dLbl>
            <c:dLbl>
              <c:idx val="3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37-41F1-855E-BFB65DED5168}"/>
                </c:ext>
              </c:extLst>
            </c:dLbl>
            <c:dLbl>
              <c:idx val="4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37-41F1-855E-BFB65DED5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01.07.2017 год</c:v>
                </c:pt>
                <c:pt idx="1">
                  <c:v>01.07.2018 год</c:v>
                </c:pt>
                <c:pt idx="2">
                  <c:v>01.07.2019 год</c:v>
                </c:pt>
                <c:pt idx="3">
                  <c:v>01.07.2020 год</c:v>
                </c:pt>
                <c:pt idx="4">
                  <c:v>01.07.2021 год</c:v>
                </c:pt>
                <c:pt idx="5">
                  <c:v>01.07.2022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377826.4</c:v>
                </c:pt>
                <c:pt idx="1">
                  <c:v>405268.8</c:v>
                </c:pt>
                <c:pt idx="2">
                  <c:v>527345.5</c:v>
                </c:pt>
                <c:pt idx="3">
                  <c:v>439586.2</c:v>
                </c:pt>
                <c:pt idx="4">
                  <c:v>445694.1</c:v>
                </c:pt>
                <c:pt idx="5">
                  <c:v>542935.19999999995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37-41F1-855E-BFB65DED5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521049520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4401935413158"/>
          <c:y val="0.2174864075548168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52.7</c:v>
                </c:pt>
                <c:pt idx="1">
                  <c:v>32.799999999999997</c:v>
                </c:pt>
                <c:pt idx="2">
                  <c:v>31.5</c:v>
                </c:pt>
                <c:pt idx="3">
                  <c:v>43.1</c:v>
                </c:pt>
                <c:pt idx="4">
                  <c:v>47</c:v>
                </c:pt>
                <c:pt idx="5">
                  <c:v>49</c:v>
                </c:pt>
                <c:pt idx="6">
                  <c:v>44.1</c:v>
                </c:pt>
                <c:pt idx="7">
                  <c:v>44</c:v>
                </c:pt>
                <c:pt idx="8">
                  <c:v>45.3</c:v>
                </c:pt>
                <c:pt idx="9">
                  <c:v>52.2</c:v>
                </c:pt>
                <c:pt idx="10">
                  <c:v>46.6</c:v>
                </c:pt>
                <c:pt idx="11">
                  <c:v>65.099999999999994</c:v>
                </c:pt>
                <c:pt idx="12">
                  <c:v>30.7</c:v>
                </c:pt>
                <c:pt idx="13">
                  <c:v>25.5</c:v>
                </c:pt>
                <c:pt idx="14">
                  <c:v>38.6</c:v>
                </c:pt>
                <c:pt idx="15">
                  <c:v>47</c:v>
                </c:pt>
                <c:pt idx="16">
                  <c:v>51.8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0.07176</cdr:x>
      <cdr:y>0.39538</cdr:y>
    </cdr:from>
    <cdr:to>
      <cdr:x>0.96953</cdr:x>
      <cdr:y>0.39538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25202" y="1336433"/>
          <a:ext cx="531945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0.0912</cdr:x>
      <cdr:y>0.3713</cdr:y>
    </cdr:from>
    <cdr:to>
      <cdr:x>0.98491</cdr:x>
      <cdr:y>0.3713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45016" y="1803425"/>
          <a:ext cx="5340798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0.05207</cdr:y>
    </cdr:from>
    <cdr:to>
      <cdr:x>1</cdr:x>
      <cdr:y>0.20635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5217812" y="157255"/>
          <a:ext cx="758173" cy="465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средний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показатель 49,0%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28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vikkka93@yandex.ru</cp:lastModifiedBy>
  <cp:revision>200</cp:revision>
  <cp:lastPrinted>2022-08-08T10:27:00Z</cp:lastPrinted>
  <dcterms:created xsi:type="dcterms:W3CDTF">2017-07-17T07:26:00Z</dcterms:created>
  <dcterms:modified xsi:type="dcterms:W3CDTF">2022-08-08T11:19:00Z</dcterms:modified>
</cp:coreProperties>
</file>