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4" w:rsidRDefault="00037494" w:rsidP="00037494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Исчерпывающий перечень документов, необходимых для принятия решения о выдаче разрешения на строительство:</w:t>
      </w:r>
    </w:p>
    <w:p w:rsidR="00037494" w:rsidRDefault="00037494" w:rsidP="00037494">
      <w:pPr>
        <w:pStyle w:val="ConsPlusNormal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1) заявление по форме согласно приложению 2 к административному регламенту;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2.1) при наличии соглашения о передаче в случаях, установленных бюджетным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», Государственной корпорацией по космической деятельно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сти «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соглашение;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="Calibri"/>
          <w:sz w:val="16"/>
          <w:szCs w:val="16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градостроительный план земельного участка, выданный не ранее чем за 3 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  <w:bookmarkStart w:id="2" w:name="Par8"/>
      <w:bookmarkEnd w:id="2"/>
    </w:p>
    <w:p w:rsidR="00037494" w:rsidRDefault="00037494" w:rsidP="00037494">
      <w:pPr>
        <w:ind w:firstLine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037494" w:rsidRDefault="00037494" w:rsidP="00037494">
      <w:pPr>
        <w:ind w:firstLine="709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Информация, указанная в градостроительном плане земельного участка, утвержденном до 1 января 2017 года, может быть использована до 1 января 2020 года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</w:p>
    <w:p w:rsidR="00037494" w:rsidRDefault="00037494" w:rsidP="00037494">
      <w:pPr>
        <w:ind w:firstLine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материалы, содержащиеся в проектной документации: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пояснительная записка;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 архитектурные решения;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проект организации строительства объекта капитального строительства;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проект организации работ по сносу объектов капитального строительства, их частей;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    </w:t>
      </w:r>
      <w:hyperlink r:id="rId6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РФ);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3" w:name="Par22"/>
      <w:bookmarkEnd w:id="3"/>
      <w:proofErr w:type="gramStart"/>
      <w:r>
        <w:rPr>
          <w:rFonts w:eastAsiaTheme="minorHAnsi"/>
          <w:sz w:val="28"/>
          <w:szCs w:val="28"/>
          <w:lang w:eastAsia="en-US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12.1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РФ), если такая проектная документация подлежит экспертизе в соответствии со </w:t>
      </w:r>
      <w:hyperlink r:id="rId8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49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9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3.4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предусмотренных </w:t>
      </w:r>
      <w:hyperlink r:id="rId10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6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4" w:name="Par25"/>
      <w:bookmarkEnd w:id="4"/>
      <w:r>
        <w:rPr>
          <w:rFonts w:eastAsiaTheme="minorHAnsi"/>
          <w:sz w:val="28"/>
          <w:szCs w:val="28"/>
          <w:lang w:eastAsia="en-US"/>
        </w:rPr>
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40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РФ);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2" w:anchor="Par30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пункте 6.2</w:t>
        </w:r>
      </w:hyperlink>
      <w:r>
        <w:rPr>
          <w:rFonts w:eastAsiaTheme="minorHAnsi"/>
          <w:sz w:val="28"/>
          <w:szCs w:val="28"/>
          <w:lang w:eastAsia="en-US"/>
        </w:rPr>
        <w:t xml:space="preserve">  части 7 статьи 51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 случаев реконструкции многоквартирного дома;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», Государственной корпорацией по космической деятельности «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осуществляет соответственно функции и полномочия учредителя или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права собственника имущества, - соглашение о проведении такой реконструкции,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определяющее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5" w:name="Par30"/>
      <w:bookmarkEnd w:id="5"/>
      <w:r>
        <w:rPr>
          <w:rFonts w:eastAsiaTheme="minorHAnsi"/>
          <w:sz w:val="28"/>
          <w:szCs w:val="28"/>
          <w:lang w:eastAsia="en-US"/>
        </w:rPr>
        <w:t xml:space="preserve">7.2) решение общего собрания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13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 в многоквартирном доме;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6" w:name="Par32"/>
      <w:bookmarkEnd w:id="6"/>
      <w:r>
        <w:rPr>
          <w:rFonts w:eastAsiaTheme="minorHAnsi"/>
          <w:sz w:val="28"/>
          <w:szCs w:val="28"/>
          <w:lang w:eastAsia="en-US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7" w:name="Par36"/>
      <w:bookmarkEnd w:id="7"/>
      <w:proofErr w:type="gramStart"/>
      <w:r>
        <w:rPr>
          <w:rFonts w:eastAsiaTheme="minorHAnsi"/>
          <w:sz w:val="28"/>
          <w:szCs w:val="28"/>
          <w:lang w:eastAsia="en-US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037494" w:rsidRDefault="00037494" w:rsidP="00037494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15. </w:t>
      </w:r>
      <w:proofErr w:type="gramStart"/>
      <w:r>
        <w:rPr>
          <w:rFonts w:ascii="Times New Roman" w:hAnsi="Times New Roman" w:cs="Times New Roman"/>
        </w:rPr>
        <w:t xml:space="preserve">Исчерпывающий перечень документов, необходимых для принятия решения о внесении изменений в разрешение на строительство в случаях, предусмотренных </w:t>
      </w:r>
      <w:proofErr w:type="spellStart"/>
      <w:r>
        <w:rPr>
          <w:rFonts w:ascii="Times New Roman" w:hAnsi="Times New Roman" w:cs="Times New Roman"/>
        </w:rPr>
        <w:t>ч.ч</w:t>
      </w:r>
      <w:proofErr w:type="spellEnd"/>
      <w:r>
        <w:rPr>
          <w:rFonts w:ascii="Times New Roman" w:hAnsi="Times New Roman" w:cs="Times New Roman"/>
        </w:rPr>
        <w:t xml:space="preserve">. 21.5 - 21.7, 21.9 ст.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(в случае приобретения прав на земельный участок, а также в случае образования земельного участка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  <w:r>
        <w:rPr>
          <w:rFonts w:ascii="Times New Roman" w:hAnsi="Times New Roman" w:cs="Times New Roman"/>
        </w:rPr>
        <w:t xml:space="preserve">): </w:t>
      </w:r>
      <w:r>
        <w:rPr>
          <w:rFonts w:ascii="Times New Roman" w:eastAsiaTheme="minorHAnsi" w:hAnsi="Times New Roman" w:cs="Times New Roman"/>
          <w:lang w:eastAsia="en-US"/>
        </w:rPr>
        <w:t xml:space="preserve">уведомление о переходе прав на земельные участки, об образовании земельного участка </w:t>
      </w:r>
      <w:r>
        <w:rPr>
          <w:rFonts w:ascii="Times New Roman" w:hAnsi="Times New Roman" w:cs="Times New Roman"/>
        </w:rPr>
        <w:t xml:space="preserve">по форме согласно приложению 3 </w:t>
      </w:r>
      <w:r>
        <w:rPr>
          <w:rFonts w:ascii="Times New Roman" w:eastAsiaTheme="minorHAnsi" w:hAnsi="Times New Roman" w:cs="Times New Roman"/>
          <w:lang w:eastAsia="en-US"/>
        </w:rPr>
        <w:t>с указанием реквизитов: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правоустанавливающих документов на такие земельные участки в случае, указанном в </w:t>
      </w:r>
      <w:hyperlink r:id="rId14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ч. 21.5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ст.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решения об образовании земельных участков в случаях, предусмотренных </w:t>
      </w:r>
      <w:hyperlink r:id="rId15" w:history="1">
        <w:proofErr w:type="spellStart"/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ч.ч</w:t>
        </w:r>
        <w:proofErr w:type="spellEnd"/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. 21.6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21.7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ст.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>
        <w:rPr>
          <w:rFonts w:eastAsiaTheme="minorHAnsi"/>
          <w:sz w:val="28"/>
          <w:szCs w:val="28"/>
          <w:lang w:eastAsia="en-US"/>
        </w:rPr>
        <w:t xml:space="preserve">, если в соответствии с земельным </w:t>
      </w:r>
      <w:hyperlink r:id="rId17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8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ч. 21.7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ст.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16. Исчерпывающий перечень документов, необходимых для принятия решения о внесении изменений в разрешение на строительство в </w:t>
      </w:r>
      <w:r>
        <w:rPr>
          <w:rFonts w:eastAsiaTheme="minorHAnsi"/>
          <w:sz w:val="28"/>
          <w:szCs w:val="28"/>
          <w:lang w:eastAsia="en-US"/>
        </w:rPr>
        <w:t xml:space="preserve">связи с необходимостью продления срока действия разрешения на строительство: </w:t>
      </w:r>
    </w:p>
    <w:p w:rsidR="00037494" w:rsidRDefault="00037494" w:rsidP="00037494">
      <w:pPr>
        <w:pStyle w:val="ConsPlusNormal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1) заявление по форме согласно приложению 4 к административному регламенту;</w:t>
      </w:r>
    </w:p>
    <w:p w:rsidR="00037494" w:rsidRDefault="00037494" w:rsidP="00037494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разрешение на строительство;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раздел проектной документации «Проект организации строительства объектов капитального строительства».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Исчерпывающий перечень документов, необходимых для принятия решения о внесении изменений в разрешение на строительство, кроме случаев, предусмотренных пунктами 15- 16 настоящего административного регламента:    </w:t>
      </w:r>
    </w:p>
    <w:p w:rsidR="00037494" w:rsidRDefault="00037494" w:rsidP="00037494">
      <w:pPr>
        <w:pStyle w:val="ConsPlusNormal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1) заявление по форме согласно приложению 4 к административному регламенту;</w:t>
      </w:r>
    </w:p>
    <w:p w:rsidR="00037494" w:rsidRDefault="00037494" w:rsidP="0003749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документы, предусмотренные под</w:t>
      </w:r>
      <w:r>
        <w:rPr>
          <w:sz w:val="28"/>
          <w:szCs w:val="28"/>
        </w:rPr>
        <w:t xml:space="preserve">пунктами 2-10 пункта 14 настоящего административного регламента.   </w:t>
      </w:r>
    </w:p>
    <w:p w:rsidR="00B461B5" w:rsidRDefault="00B461B5"/>
    <w:sectPr w:rsidR="00B4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94"/>
    <w:rsid w:val="00037494"/>
    <w:rsid w:val="00B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4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4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37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4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4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E528B01F605E80FF5ABE33726AD039C233842B3137FA9D7371283E62D0493C852ABE5B1934E1n2A2M" TargetMode="External"/><Relationship Id="rId13" Type="http://schemas.openxmlformats.org/officeDocument/2006/relationships/hyperlink" Target="consultantplus://offline/ref=66D2E528B01F605E80FF5ABE33726AD039C234872A3937FA9D7371283E62D0493C852ABE5B1837EAn2A6M" TargetMode="External"/><Relationship Id="rId18" Type="http://schemas.openxmlformats.org/officeDocument/2006/relationships/hyperlink" Target="consultantplus://offline/ref=90B8A6F2E896870DBA086F6578414017C83D982C2B47B16C2939838E9A1924CEFCC3FC0AD9CC7B0339A2CFE48CE33906DFE36597A0U7c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2E528B01F605E80FF5ABE33726AD039C233842B3137FA9D7371283E62D0493C852ABB5Fn1A0M" TargetMode="External"/><Relationship Id="rId12" Type="http://schemas.openxmlformats.org/officeDocument/2006/relationships/hyperlink" Target="file:///C:\Users\D694~1\AppData\Local\Temp\Rar$DIa3852.46818\&#1056;&#1077;&#1075;&#1083;&#1072;&#1084;&#1077;&#1085;&#1090;%20&#1088;&#1072;&#1079;&#1088;&#1077;&#1096;&#1077;&#1085;&#1080;&#1077;%20&#1085;&#1072;%20&#1089;&#1090;&#1088;&#1086;&#1080;&#1090;&#1077;&#1083;&#1100;&#1089;&#1090;&#1074;&#1086;.docx" TargetMode="External"/><Relationship Id="rId17" Type="http://schemas.openxmlformats.org/officeDocument/2006/relationships/hyperlink" Target="consultantplus://offline/ref=90B8A6F2E896870DBA086F6578414017C83D99242246B16C2939838E9A1924CEFCC3FC08DCCE7B0339A2CFE48CE33906DFE36597A0U7c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B8A6F2E896870DBA086F6578414017C83D982C2B47B16C2939838E9A1924CEFCC3FC0AD9CC7B0339A2CFE48CE33906DFE36597A0U7c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E528B01F605E80FF5ABE33726AD039C233842B3137FA9D7371283E62D0493C852ABE5B1934E1n2A2M" TargetMode="External"/><Relationship Id="rId11" Type="http://schemas.openxmlformats.org/officeDocument/2006/relationships/hyperlink" Target="consultantplus://offline/ref=66D2E528B01F605E80FF5ABE33726AD039C233842B3137FA9D7371283E62D0493C852ABE5B1832EAn2ABM" TargetMode="External"/><Relationship Id="rId5" Type="http://schemas.openxmlformats.org/officeDocument/2006/relationships/hyperlink" Target="consultantplus://offline/ref=66D2E528B01F605E80FF5ABE33726AD039C23380263B37FA9D7371283E62D0493C852ABC521An3ACM" TargetMode="External"/><Relationship Id="rId15" Type="http://schemas.openxmlformats.org/officeDocument/2006/relationships/hyperlink" Target="consultantplus://offline/ref=90B8A6F2E896870DBA086F6578414017C83D982C2B47B16C2939838E9A1924CEFCC3FC0AD9CF7B0339A2CFE48CE33906DFE36597A0U7cFN" TargetMode="External"/><Relationship Id="rId10" Type="http://schemas.openxmlformats.org/officeDocument/2006/relationships/hyperlink" Target="consultantplus://offline/ref=66D2E528B01F605E80FF5ABE33726AD039C233842B3137FA9D7371283E62D0493C852ABE5B1930E8n2A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E528B01F605E80FF5ABE33726AD039C233842B3137FA9D7371283E62D0493C852ABA5Bn1A8M" TargetMode="External"/><Relationship Id="rId14" Type="http://schemas.openxmlformats.org/officeDocument/2006/relationships/hyperlink" Target="consultantplus://offline/ref=90B8A6F2E896870DBA086F6578414017C83D982C2B47B16C2939838E9A1924CEFCC3FC0AD9CE7B0339A2CFE48CE33906DFE36597A0U7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2020-01-22T12:03:00Z</dcterms:created>
  <dcterms:modified xsi:type="dcterms:W3CDTF">2020-01-22T12:04:00Z</dcterms:modified>
</cp:coreProperties>
</file>