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3338C6" w:rsidRDefault="001C1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"05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661D" w:rsidRDefault="001C1D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"01" ноября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43661D" w:rsidRDefault="0095263F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57B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1C1DD5" w:rsidRPr="001C1DD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муниципального района Липецкой области «О Положении «О муниципальном земельном контроле на территории Добринского муниципального района Липецкой области"</w:t>
            </w:r>
            <w:r w:rsidR="00A57BC1" w:rsidRPr="001C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:rsidR="0043661D" w:rsidRDefault="0038608B" w:rsidP="00A57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63F"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8F7E85" w:rsidRPr="008F7E8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D5" w:rsidRPr="001C1DD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муниципального района Липецкой области «О Положении «О муниципальном земельном контроле на территории Добринского муниципального района Липецкой области"</w:t>
            </w:r>
            <w:r w:rsidR="001C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3F"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осуществления муниципального земельного контроля на территории муниципального образования Добринский муниципальный район Липецкой области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юридического отдела администрации Добринского муниципального района Липецкой области.</w:t>
            </w:r>
          </w:p>
          <w:p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:rsidTr="001C1DD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:rsidTr="001C1DD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8B" w:rsidRDefault="005B07C8" w:rsidP="0038608B">
            <w:pPr>
              <w:pStyle w:val="ConsPlusNonformat"/>
              <w:jc w:val="both"/>
              <w:rPr>
                <w:rFonts w:eastAsia="DejaVu San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  <w:r w:rsidR="008A7B4D">
              <w:rPr>
                <w:rFonts w:eastAsia="DejaVu Sans"/>
              </w:rPr>
              <w:t xml:space="preserve"> </w:t>
            </w:r>
          </w:p>
          <w:p w:rsidR="0043661D" w:rsidRPr="0038608B" w:rsidRDefault="0038608B" w:rsidP="00386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- </w:t>
            </w:r>
            <w:r w:rsidR="008A7B4D"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t>недостаточность регулирования вопросов профилактики нар</w:t>
            </w:r>
            <w:r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ушений </w:t>
            </w:r>
            <w:r w:rsidRPr="0038608B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обязательных требований.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1C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проблемы:</w:t>
            </w:r>
          </w:p>
          <w:p w:rsidR="0043661D" w:rsidRPr="006011F7" w:rsidRDefault="0038608B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 xml:space="preserve">- </w:t>
            </w:r>
            <w:r w:rsidRPr="0038608B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5B07C8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1C1DD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1C1DD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:rsidTr="001C1DD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:rsidTr="001C1DD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64145" w:rsidP="005641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1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сельскохозяйственное </w:t>
            </w:r>
            <w:proofErr w:type="spellStart"/>
            <w:r w:rsidRPr="0056414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СПК, ИП</w:t>
            </w:r>
            <w:r w:rsidRPr="00564145">
              <w:rPr>
                <w:rFonts w:ascii="Times New Roman" w:hAnsi="Times New Roman" w:cs="Times New Roman"/>
                <w:sz w:val="24"/>
                <w:szCs w:val="24"/>
              </w:rPr>
              <w:t>, ЛПХ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2D9E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5B2D9E" w:rsidRDefault="005B2D9E" w:rsidP="005B2D9E">
            <w:pPr>
              <w:shd w:val="clear" w:color="auto" w:fill="FFFFFF"/>
              <w:rPr>
                <w:bCs/>
              </w:rPr>
            </w:pPr>
            <w:r w:rsidRPr="005B2D9E">
              <w:rPr>
                <w:rStyle w:val="link"/>
                <w:bCs/>
              </w:rPr>
              <w:t>Федеральная служба государственной регистрации, кадастра и картографии</w:t>
            </w:r>
            <w:r>
              <w:rPr>
                <w:rStyle w:val="link"/>
                <w:bCs/>
              </w:rPr>
              <w:t xml:space="preserve"> (</w:t>
            </w:r>
            <w:proofErr w:type="spellStart"/>
            <w:r>
              <w:rPr>
                <w:rStyle w:val="link"/>
                <w:bCs/>
              </w:rPr>
              <w:t>Росреестр</w:t>
            </w:r>
            <w:proofErr w:type="spellEnd"/>
            <w:r>
              <w:rPr>
                <w:rStyle w:val="link"/>
                <w:bCs/>
              </w:rPr>
              <w:t>)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:rsidTr="001C1DD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:rsidTr="001C1DD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 xml:space="preserve">, индикативных 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земельного контроля;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принятие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решения  Совета депутатов Добринского муниципального района Липецкой области  «О 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земельном контроле на территории Добринского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C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принятие распоряжением администрации муниципального района,</w:t>
            </w:r>
          </w:p>
          <w:p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>
              <w:t>иципального земельного 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C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ресурсы</w:t>
            </w:r>
          </w:p>
          <w:p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:rsidTr="001C1DD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</w:t>
            </w:r>
            <w:r w:rsidR="001C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:rsidTr="001C1DD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- ключевых показателей вида контроля и их целевых значений, индикативных показателей для 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:rsidTr="001C1DD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:rsidTr="001C1DD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F241BF" w:rsidP="00F241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1BF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F24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сельскохозяйственное производство КФХ, СПК, ИП, ЛПХ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2D9E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предписаний органа муниципального контроля в случае наличия нарушений обязательных требований, 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1C1DD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proofErr w:type="spellStart"/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proofErr w:type="spellEnd"/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3661D" w:rsidRPr="008E2976" w:rsidRDefault="005B07C8" w:rsidP="008E29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  <w:bookmarkStart w:id="2" w:name="_GoBack"/>
            <w:bookmarkEnd w:id="2"/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1C1DD5">
              <w:rPr>
                <w:rFonts w:ascii="Times New Roman" w:hAnsi="Times New Roman" w:cs="Times New Roman"/>
                <w:sz w:val="24"/>
                <w:szCs w:val="24"/>
              </w:rPr>
              <w:t>ления в силу: ноябрь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/нет; если есть, то необходимо указать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распространения положений нормативного правового 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возникшие отношения: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43661D" w:rsidRDefault="005B07C8" w:rsidP="00386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3" w:name="P5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:rsidTr="001C1DD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1C1DD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:rsidTr="001C1DD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:rsidTr="001C1DD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:rsidTr="001C1DD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</w:p>
    <w:p w:rsidR="0043661D" w:rsidRDefault="00065D59" w:rsidP="00386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1C1DD5">
        <w:rPr>
          <w:rFonts w:ascii="Times New Roman" w:hAnsi="Times New Roman" w:cs="Times New Roman"/>
          <w:sz w:val="24"/>
          <w:szCs w:val="24"/>
          <w:u w:val="single"/>
        </w:rPr>
        <w:t xml:space="preserve">     05.10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sectPr w:rsidR="0043661D" w:rsidSect="0038608B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4B" w:rsidRDefault="00C6734B" w:rsidP="0038608B">
      <w:r>
        <w:separator/>
      </w:r>
    </w:p>
  </w:endnote>
  <w:endnote w:type="continuationSeparator" w:id="0">
    <w:p w:rsidR="00C6734B" w:rsidRDefault="00C6734B" w:rsidP="0038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4B" w:rsidRDefault="00C6734B" w:rsidP="0038608B">
      <w:r>
        <w:separator/>
      </w:r>
    </w:p>
  </w:footnote>
  <w:footnote w:type="continuationSeparator" w:id="0">
    <w:p w:rsidR="00C6734B" w:rsidRDefault="00C6734B" w:rsidP="00386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499082"/>
      <w:docPartObj>
        <w:docPartGallery w:val="Page Numbers (Top of Page)"/>
        <w:docPartUnique/>
      </w:docPartObj>
    </w:sdtPr>
    <w:sdtContent>
      <w:p w:rsidR="0038608B" w:rsidRDefault="0026458C">
        <w:pPr>
          <w:pStyle w:val="af5"/>
          <w:jc w:val="center"/>
        </w:pPr>
        <w:r>
          <w:fldChar w:fldCharType="begin"/>
        </w:r>
        <w:r w:rsidR="0038608B">
          <w:instrText>PAGE   \* MERGEFORMAT</w:instrText>
        </w:r>
        <w:r>
          <w:fldChar w:fldCharType="separate"/>
        </w:r>
        <w:r w:rsidR="001C1DD5">
          <w:rPr>
            <w:noProof/>
          </w:rPr>
          <w:t>5</w:t>
        </w:r>
        <w:r>
          <w:fldChar w:fldCharType="end"/>
        </w:r>
      </w:p>
    </w:sdtContent>
  </w:sdt>
  <w:p w:rsidR="0038608B" w:rsidRDefault="0038608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1D"/>
    <w:rsid w:val="000338DD"/>
    <w:rsid w:val="00065D59"/>
    <w:rsid w:val="001C1DD5"/>
    <w:rsid w:val="001C5743"/>
    <w:rsid w:val="001F45B0"/>
    <w:rsid w:val="0026458C"/>
    <w:rsid w:val="003338C6"/>
    <w:rsid w:val="0038608B"/>
    <w:rsid w:val="0043661D"/>
    <w:rsid w:val="00515A39"/>
    <w:rsid w:val="00564145"/>
    <w:rsid w:val="005B07C8"/>
    <w:rsid w:val="005B2D9E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A3374C"/>
    <w:rsid w:val="00A57BC1"/>
    <w:rsid w:val="00B10864"/>
    <w:rsid w:val="00BA152D"/>
    <w:rsid w:val="00C6734B"/>
    <w:rsid w:val="00CB4F50"/>
    <w:rsid w:val="00CC187F"/>
    <w:rsid w:val="00CE5083"/>
    <w:rsid w:val="00D50F21"/>
    <w:rsid w:val="00D84091"/>
    <w:rsid w:val="00DA46E0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38608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38608B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3860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38608B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44A7-FDCF-42B1-BA8F-A02550DD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Olga Chernova</cp:lastModifiedBy>
  <cp:revision>2</cp:revision>
  <cp:lastPrinted>2021-07-17T10:10:00Z</cp:lastPrinted>
  <dcterms:created xsi:type="dcterms:W3CDTF">2021-10-02T18:32:00Z</dcterms:created>
  <dcterms:modified xsi:type="dcterms:W3CDTF">2021-10-02T18:32:00Z</dcterms:modified>
  <dc:language>en-US</dc:language>
</cp:coreProperties>
</file>