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0C" w:rsidRDefault="00A4230C" w:rsidP="00F03626">
      <w:pPr>
        <w:autoSpaceDE w:val="0"/>
        <w:autoSpaceDN w:val="0"/>
        <w:adjustRightInd w:val="0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626" w:rsidRPr="00827FCB" w:rsidRDefault="00F03626" w:rsidP="00F03626">
      <w:pPr>
        <w:autoSpaceDE w:val="0"/>
        <w:autoSpaceDN w:val="0"/>
        <w:adjustRightInd w:val="0"/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 ЗАПИСКА</w:t>
      </w:r>
    </w:p>
    <w:p w:rsidR="00F03626" w:rsidRDefault="00F03626" w:rsidP="00F03626">
      <w:pPr>
        <w:autoSpaceDE w:val="0"/>
        <w:autoSpaceDN w:val="0"/>
        <w:adjustRightInd w:val="0"/>
        <w:spacing w:line="276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отчету об исполнении </w:t>
      </w:r>
      <w:r w:rsidR="00481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районного</w:t>
      </w:r>
      <w:r w:rsidRPr="00827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</w:t>
      </w:r>
      <w:proofErr w:type="spellStart"/>
      <w:r w:rsidRPr="00827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827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по расходам за 20</w:t>
      </w:r>
      <w:r w:rsidR="006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24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7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4230C" w:rsidRPr="00827FCB" w:rsidRDefault="00A4230C" w:rsidP="00F03626">
      <w:pPr>
        <w:autoSpaceDE w:val="0"/>
        <w:autoSpaceDN w:val="0"/>
        <w:adjustRightInd w:val="0"/>
        <w:spacing w:line="276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30C" w:rsidRPr="00A4230C" w:rsidRDefault="00A4230C" w:rsidP="00A423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0C">
        <w:rPr>
          <w:rFonts w:ascii="Times New Roman" w:hAnsi="Times New Roman" w:cs="Times New Roman"/>
          <w:b/>
          <w:sz w:val="28"/>
          <w:szCs w:val="28"/>
        </w:rPr>
        <w:t>По доходам:</w:t>
      </w:r>
    </w:p>
    <w:p w:rsidR="00A4230C" w:rsidRPr="00A4230C" w:rsidRDefault="00A4230C" w:rsidP="00A423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0C">
        <w:rPr>
          <w:rFonts w:ascii="Times New Roman" w:hAnsi="Times New Roman" w:cs="Times New Roman"/>
          <w:sz w:val="28"/>
          <w:szCs w:val="28"/>
        </w:rPr>
        <w:t>За 2021 год в бюджет муниципального района из всех доходных источников поступило денежных средств в сумме 1 060 405 262,71 руб., в том числе безвозмездных поступлений 517 305 882,62 руб. или 48,8%, налоговых и неналоговых доходов 543 099 380,09 руб. или 51,2%</w:t>
      </w:r>
      <w:r>
        <w:rPr>
          <w:rFonts w:ascii="Times New Roman" w:hAnsi="Times New Roman" w:cs="Times New Roman"/>
          <w:sz w:val="28"/>
          <w:szCs w:val="28"/>
        </w:rPr>
        <w:t xml:space="preserve"> к общему объему доходов</w:t>
      </w:r>
      <w:r w:rsidRPr="00A4230C">
        <w:rPr>
          <w:rFonts w:ascii="Times New Roman" w:hAnsi="Times New Roman" w:cs="Times New Roman"/>
          <w:sz w:val="28"/>
          <w:szCs w:val="28"/>
        </w:rPr>
        <w:t>.</w:t>
      </w:r>
    </w:p>
    <w:p w:rsidR="00A4230C" w:rsidRPr="00A4230C" w:rsidRDefault="00A4230C" w:rsidP="00A423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0C">
        <w:rPr>
          <w:rFonts w:ascii="Times New Roman" w:hAnsi="Times New Roman" w:cs="Times New Roman"/>
          <w:sz w:val="28"/>
          <w:szCs w:val="28"/>
        </w:rPr>
        <w:t>Первоначально утвержденный бюджет муниципального района по налоговым и неналоговым доходам исполнен на 161,2%. Дополнительно к утвержденному плану года получено 206 251 780,09 рублей.</w:t>
      </w:r>
    </w:p>
    <w:p w:rsidR="00A4230C" w:rsidRPr="00A4230C" w:rsidRDefault="00A4230C" w:rsidP="00A423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0C">
        <w:rPr>
          <w:rFonts w:ascii="Times New Roman" w:hAnsi="Times New Roman" w:cs="Times New Roman"/>
          <w:sz w:val="28"/>
          <w:szCs w:val="28"/>
        </w:rPr>
        <w:t xml:space="preserve">Уточненный бюджет муниципального района по налоговым и неналоговым доходам исполнен на 125,8%.  Дополнительно к уточненному плану года получено 111 301 430,09 рублей. </w:t>
      </w:r>
    </w:p>
    <w:p w:rsidR="00A4230C" w:rsidRPr="00A4230C" w:rsidRDefault="00A4230C" w:rsidP="00A4230C">
      <w:pPr>
        <w:spacing w:line="276" w:lineRule="auto"/>
        <w:ind w:left="9" w:right="-1" w:firstLine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30C">
        <w:rPr>
          <w:rFonts w:ascii="Times New Roman" w:hAnsi="Times New Roman" w:cs="Times New Roman"/>
          <w:sz w:val="28"/>
          <w:szCs w:val="28"/>
        </w:rPr>
        <w:tab/>
        <w:t>К уровню прошлого 2020 года поступления собственных доходов увеличены на 122 715 134,35 руб. и темп роста составил 129,2%.</w:t>
      </w:r>
      <w:r w:rsidRPr="00A4230C">
        <w:rPr>
          <w:rFonts w:ascii="Times New Roman" w:hAnsi="Times New Roman" w:cs="Times New Roman"/>
          <w:bCs/>
          <w:sz w:val="28"/>
          <w:szCs w:val="28"/>
        </w:rPr>
        <w:t xml:space="preserve"> Рост обеспечен поступлением НДФЛ с выплаченных дивидендов от ООО «Восход". </w:t>
      </w:r>
    </w:p>
    <w:p w:rsidR="00A4230C" w:rsidRPr="00A4230C" w:rsidRDefault="00A4230C" w:rsidP="00A4230C">
      <w:pPr>
        <w:spacing w:line="276" w:lineRule="auto"/>
        <w:ind w:left="9" w:right="-1" w:firstLine="3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30C">
        <w:rPr>
          <w:rFonts w:ascii="Times New Roman" w:hAnsi="Times New Roman" w:cs="Times New Roman"/>
          <w:sz w:val="28"/>
          <w:szCs w:val="28"/>
        </w:rPr>
        <w:t xml:space="preserve">В структуре доходов наибольший удельный вес приходится на налог на доходы физических лиц, его доля в поступлениях собственных доходов составила 57,6%.  Исполнение к утвержденному плану года составило 169,6% дополнительно к плану поступило 128 395 625,17 рублей.  </w:t>
      </w:r>
    </w:p>
    <w:p w:rsidR="00A4230C" w:rsidRPr="00A4230C" w:rsidRDefault="00A4230C" w:rsidP="00A4230C">
      <w:pPr>
        <w:spacing w:line="276" w:lineRule="auto"/>
        <w:ind w:left="9" w:right="-1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230C">
        <w:rPr>
          <w:rFonts w:ascii="Times New Roman" w:hAnsi="Times New Roman" w:cs="Times New Roman"/>
          <w:sz w:val="28"/>
          <w:szCs w:val="28"/>
        </w:rPr>
        <w:t>План по акцизам на ГСМ исполнен на 101,9% поступило 41 221 920,34 рублей, при утвержденном плане года 40 444 395,00 рублей дополнительно к плану поступило 777 525,34 рублей.  Администратором данного доходного источника является Управление Федерального казначейства по Липецкой области.</w:t>
      </w:r>
    </w:p>
    <w:p w:rsidR="00A4230C" w:rsidRDefault="00A4230C" w:rsidP="00A4230C">
      <w:pPr>
        <w:spacing w:line="276" w:lineRule="auto"/>
        <w:ind w:left="9" w:right="-1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4230C">
        <w:rPr>
          <w:rFonts w:ascii="Times New Roman" w:hAnsi="Times New Roman" w:cs="Times New Roman"/>
          <w:sz w:val="28"/>
          <w:szCs w:val="28"/>
        </w:rPr>
        <w:t>К утвержденному бюджету 2021 года исполнены все доходные источники.</w:t>
      </w:r>
    </w:p>
    <w:p w:rsidR="00A4230C" w:rsidRDefault="00A4230C" w:rsidP="00A4230C">
      <w:pPr>
        <w:pStyle w:val="ab"/>
        <w:spacing w:line="276" w:lineRule="auto"/>
        <w:rPr>
          <w:sz w:val="28"/>
        </w:rPr>
      </w:pPr>
      <w:r w:rsidRPr="007B492D">
        <w:rPr>
          <w:sz w:val="28"/>
        </w:rPr>
        <w:t xml:space="preserve">В безвозмездных поступлениях </w:t>
      </w:r>
      <w:r>
        <w:rPr>
          <w:sz w:val="28"/>
        </w:rPr>
        <w:t>фактические поступило:</w:t>
      </w:r>
    </w:p>
    <w:p w:rsidR="00A4230C" w:rsidRDefault="00A4230C" w:rsidP="00A4230C">
      <w:pPr>
        <w:pStyle w:val="ab"/>
        <w:spacing w:line="276" w:lineRule="auto"/>
        <w:rPr>
          <w:sz w:val="28"/>
        </w:rPr>
      </w:pPr>
      <w:r>
        <w:rPr>
          <w:sz w:val="28"/>
        </w:rPr>
        <w:t>-</w:t>
      </w:r>
      <w:r w:rsidRPr="007B492D">
        <w:rPr>
          <w:sz w:val="28"/>
        </w:rPr>
        <w:t xml:space="preserve"> дотация из </w:t>
      </w:r>
      <w:r>
        <w:rPr>
          <w:sz w:val="28"/>
        </w:rPr>
        <w:t xml:space="preserve">областного </w:t>
      </w:r>
      <w:r w:rsidRPr="007B492D">
        <w:rPr>
          <w:sz w:val="28"/>
        </w:rPr>
        <w:t>бюджета в 202</w:t>
      </w:r>
      <w:r>
        <w:rPr>
          <w:sz w:val="28"/>
        </w:rPr>
        <w:t>1</w:t>
      </w:r>
      <w:r w:rsidRPr="007B492D">
        <w:rPr>
          <w:sz w:val="28"/>
        </w:rPr>
        <w:t xml:space="preserve"> году в объеме </w:t>
      </w:r>
      <w:r>
        <w:rPr>
          <w:sz w:val="28"/>
        </w:rPr>
        <w:t>7 183 031,00</w:t>
      </w:r>
      <w:r w:rsidRPr="007B492D">
        <w:rPr>
          <w:sz w:val="28"/>
        </w:rPr>
        <w:t xml:space="preserve"> руб.</w:t>
      </w:r>
      <w:r>
        <w:rPr>
          <w:sz w:val="28"/>
        </w:rPr>
        <w:t>;</w:t>
      </w:r>
    </w:p>
    <w:p w:rsidR="00A4230C" w:rsidRDefault="00A4230C" w:rsidP="00A4230C">
      <w:pPr>
        <w:pStyle w:val="ab"/>
        <w:spacing w:line="276" w:lineRule="auto"/>
        <w:rPr>
          <w:sz w:val="28"/>
        </w:rPr>
      </w:pPr>
      <w:r>
        <w:rPr>
          <w:sz w:val="28"/>
        </w:rPr>
        <w:t>- субсидии в сумме 81 571 208,14 руб.;</w:t>
      </w:r>
    </w:p>
    <w:p w:rsidR="00A4230C" w:rsidRDefault="00A4230C" w:rsidP="00A4230C">
      <w:pPr>
        <w:pStyle w:val="ab"/>
        <w:spacing w:line="276" w:lineRule="auto"/>
        <w:rPr>
          <w:sz w:val="28"/>
        </w:rPr>
      </w:pPr>
      <w:r>
        <w:rPr>
          <w:sz w:val="28"/>
        </w:rPr>
        <w:t>- субвенции в сумме 364 003 609,35 руб.;</w:t>
      </w:r>
    </w:p>
    <w:p w:rsidR="00A4230C" w:rsidRDefault="00A4230C" w:rsidP="00A4230C">
      <w:pPr>
        <w:pStyle w:val="ab"/>
        <w:spacing w:line="276" w:lineRule="auto"/>
        <w:rPr>
          <w:sz w:val="28"/>
        </w:rPr>
      </w:pPr>
      <w:r>
        <w:rPr>
          <w:sz w:val="28"/>
        </w:rPr>
        <w:t>- иные межбюджетные трансферты в сумме 64 889 557,16 руб.;</w:t>
      </w:r>
    </w:p>
    <w:p w:rsidR="00A4230C" w:rsidRPr="007B492D" w:rsidRDefault="00A4230C" w:rsidP="00A4230C">
      <w:pPr>
        <w:pStyle w:val="ab"/>
        <w:spacing w:line="276" w:lineRule="auto"/>
        <w:rPr>
          <w:sz w:val="28"/>
          <w:szCs w:val="28"/>
        </w:rPr>
      </w:pPr>
      <w:r>
        <w:rPr>
          <w:sz w:val="28"/>
        </w:rPr>
        <w:t>- прочие безвозмездные поступления – 724 057,56 рублей.</w:t>
      </w:r>
      <w:r w:rsidRPr="007B492D">
        <w:rPr>
          <w:sz w:val="28"/>
        </w:rPr>
        <w:t xml:space="preserve"> </w:t>
      </w:r>
    </w:p>
    <w:p w:rsidR="00A4230C" w:rsidRPr="00A4230C" w:rsidRDefault="00A4230C" w:rsidP="00A4230C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 расходам:</w:t>
      </w:r>
    </w:p>
    <w:p w:rsidR="00324C95" w:rsidRPr="00827FCB" w:rsidRDefault="004818EF" w:rsidP="00A4230C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24C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proofErr w:type="spellStart"/>
      <w:r w:rsidR="00324C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324C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расходам исполнен в сумме </w:t>
      </w:r>
      <w:r w:rsidRPr="004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932085452,31</w:t>
      </w:r>
      <w:r w:rsidR="00324C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при годовых уточненных назначениях в сумме </w:t>
      </w:r>
      <w:r w:rsidRPr="004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1016520616,29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C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исполнение составило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24C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C45F25" w:rsidRPr="00827FCB" w:rsidRDefault="00C45F25" w:rsidP="00A959C2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районного бюджета финансируются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учреждений: 22 учреждения образования, </w:t>
      </w:r>
      <w:r w:rsidR="006E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0F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40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</w:t>
      </w:r>
      <w:r w:rsidR="0040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стадии ликвидации)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МАУ «Редакция газеты «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вести», МКУ «Единая дежурно-диспетчерская служба»</w:t>
      </w:r>
      <w:r w:rsidR="000F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F4CB4" w:rsidRPr="00E12726">
        <w:rPr>
          <w:rFonts w:ascii="Times New Roman" w:hAnsi="Times New Roman"/>
          <w:color w:val="000000"/>
          <w:sz w:val="28"/>
          <w:szCs w:val="28"/>
        </w:rPr>
        <w:t xml:space="preserve">МКУ «ЦК в СБУ и МЗ </w:t>
      </w:r>
      <w:proofErr w:type="spellStart"/>
      <w:r w:rsidR="000F4CB4" w:rsidRPr="00E12726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="000F4CB4" w:rsidRPr="00E1272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0100 «Общегосударственные вопросы» производились в пределах сметных назначений и составили </w:t>
      </w:r>
      <w:r w:rsidR="00CF63BD" w:rsidRPr="00C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98390308,54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уточненных плановых назначениях </w:t>
      </w:r>
      <w:r w:rsidR="00CF63BD" w:rsidRPr="00C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100415597,58</w:t>
      </w:r>
      <w:r w:rsidR="00C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C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</w:p>
    <w:p w:rsidR="00C45F25" w:rsidRPr="00AD0F1B" w:rsidRDefault="00C45F25" w:rsidP="00D125B7">
      <w:pPr>
        <w:autoSpaceDE w:val="0"/>
        <w:autoSpaceDN w:val="0"/>
        <w:adjustRightInd w:val="0"/>
        <w:spacing w:before="240"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0300 «Национальная безопасность и правоохранительная деятельность» производились в пределах сметных назначений в разрезе экономических статей расходов и составили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17568743,38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уточненных плановых назначениях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17700729,75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C6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45F25" w:rsidRPr="00827FCB" w:rsidRDefault="00C45F25" w:rsidP="00D125B7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0304 «Органы юстиции» (ЗАГС) расходы производились в пределах сметных назначений в разрезе экономических статей расходов и составили </w:t>
      </w:r>
      <w:r w:rsidR="00E83EA1" w:rsidRP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2109175</w:t>
      </w:r>
      <w:r w:rsidR="00AD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уточненных плановых назначениях </w:t>
      </w:r>
      <w:r w:rsidR="00E83EA1" w:rsidRP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2109175</w:t>
      </w:r>
      <w:r w:rsidR="00AD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AD0F1B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100%, в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средств федерального бюджета 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1300000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F25" w:rsidRPr="00827FCB" w:rsidRDefault="00C45F25" w:rsidP="00D125B7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03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«Защита населения и территории от последствий чрезвычайных ситуаций природного и техногенного характера, гражданская оборона» 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асходы составили </w:t>
      </w:r>
      <w:r w:rsidR="00E83EA1" w:rsidRP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15635657,09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уточненных плановых назначениях </w:t>
      </w:r>
      <w:r w:rsidR="00E83EA1" w:rsidRP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15696674,75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99,6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в рамках муниципальной программы «</w:t>
      </w:r>
      <w:r w:rsidR="00E83EA1" w:rsidRPr="00B2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обеспечения общественной безопасности населения и территории </w:t>
      </w:r>
      <w:proofErr w:type="spellStart"/>
      <w:r w:rsidR="00E83EA1" w:rsidRPr="00B2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E83EA1" w:rsidRPr="00B2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2019 - 2024 годы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содержание </w:t>
      </w:r>
      <w:r w:rsidR="00AC3224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«Единая дежурно-диспетчерская служба»</w:t>
      </w:r>
      <w:r w:rsidR="00A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мероприятиям подпрограммы «</w:t>
      </w:r>
      <w:r w:rsidR="00E83EA1" w:rsidRPr="00B2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 развитие аппаратно-программного комплекса "Безопасный город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профинансировано на сумму </w:t>
      </w:r>
      <w:r w:rsidR="00707A73" w:rsidRPr="007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1152000</w:t>
      </w:r>
      <w:r w:rsidR="007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A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м</w:t>
      </w:r>
      <w:r w:rsidR="00E83EA1" w:rsidRPr="00B2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одернизаци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83EA1" w:rsidRPr="00B2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 видеонаблюдения АПК "Безопасный город" на территории </w:t>
      </w:r>
      <w:proofErr w:type="spellStart"/>
      <w:r w:rsidR="00E83EA1" w:rsidRPr="00B2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707A73" w:rsidRPr="007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599747,47</w:t>
      </w:r>
      <w:r w:rsidR="00E8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A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 приобретение спецтехники - </w:t>
      </w:r>
      <w:r w:rsidR="00AC3224" w:rsidRPr="00A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6218996,75</w:t>
      </w:r>
      <w:r w:rsidR="00AC3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0314 «Другие вопросы в области национальной безопасности и правоохранительной деятельности» 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плане 85000,00 руб. расходы на мероприятия муниципальных программ «</w:t>
      </w:r>
      <w:r w:rsidR="00A43C80" w:rsidRPr="0035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терроризма на территории </w:t>
      </w:r>
      <w:proofErr w:type="spellStart"/>
      <w:r w:rsidR="00A43C80" w:rsidRPr="0035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A43C80" w:rsidRPr="0035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запланированные 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55</w:t>
      </w:r>
      <w:r w:rsidR="007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руб. и 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A43C80" w:rsidRPr="0035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на</w:t>
      </w:r>
      <w:bookmarkStart w:id="0" w:name="_GoBack"/>
      <w:bookmarkEnd w:id="0"/>
      <w:r w:rsidR="00A43C80" w:rsidRPr="0035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="00A43C80" w:rsidRPr="0035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A43C80" w:rsidRPr="0035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плане 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30</w:t>
      </w:r>
      <w:r w:rsidR="007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 не производились.</w:t>
      </w:r>
    </w:p>
    <w:p w:rsidR="00C45F25" w:rsidRPr="00827FCB" w:rsidRDefault="00C45F25" w:rsidP="00D125B7">
      <w:pPr>
        <w:autoSpaceDE w:val="0"/>
        <w:autoSpaceDN w:val="0"/>
        <w:adjustRightInd w:val="0"/>
        <w:spacing w:before="240"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 разделу 0400 «Национальная экономика» за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при уточненном плане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102329495,69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освоены в сумме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98347801,77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из них:</w:t>
      </w:r>
    </w:p>
    <w:p w:rsidR="00C45F25" w:rsidRPr="00827FCB" w:rsidRDefault="00C45F25" w:rsidP="00D125B7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</w:t>
      </w:r>
      <w:r w:rsidR="00D0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экономия сложилась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временной вакансией </w:t>
      </w:r>
      <w:r w:rsidR="00D0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годовых назначениях </w:t>
      </w:r>
      <w:r w:rsidR="00A43C80" w:rsidRP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545800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составило 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45F25" w:rsidRPr="00827FCB" w:rsidRDefault="00C45F25" w:rsidP="00D125B7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животных. Кассовые расходы произведены на 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или составили </w:t>
      </w:r>
      <w:r w:rsidR="00A43C80" w:rsidRP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413261,36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0408 «Транспорт» - финансирование по государственной поддержке автомобильного транспорта при годовом плане 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000000,00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составило в сумме </w:t>
      </w:r>
      <w:r w:rsidR="00A43C80" w:rsidRP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5947662,6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43C80" w:rsidRP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A4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в виде субсидии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недополученные доходы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перевозки пассажиров по внутри муниципальным маршрутам и по </w:t>
      </w:r>
      <w:r w:rsidR="001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городскому маршруту п. Добринка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муниципальной программы «Обеспечение населения Добринского района качественной инфраструктурой и услугами ЖКХ на </w:t>
      </w:r>
      <w:r w:rsidR="00E7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04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B1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0409 «Дорожное хозяйство (дорожные фонды)» в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расходы по дорожному хозяйству в целом, при уточненных годовых плановых назначениях 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87452928,8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сложились в сумме 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83995287,83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</w:t>
      </w:r>
      <w:r w:rsidR="00D9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9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плановых назначений. </w:t>
      </w:r>
      <w:r w:rsidR="006A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областным бюджетом  был произведен капитальный ремонт дорог </w:t>
      </w:r>
      <w:r w:rsidR="0041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на общую сумму 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46406736,29</w:t>
      </w:r>
      <w:r w:rsidR="000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них за счет областного бюджета 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40106089,37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районного бюджета 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6300646,92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5B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отремонтированы дороги 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 </w:t>
      </w:r>
      <w:r w:rsidR="0000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сельских поселениях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19316400,91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рамках мероприятий программы «Обеспечение населения Добринского района качественной инфраструктурой и услугами ЖКХ на </w:t>
      </w:r>
      <w:r w:rsidR="00E7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сельским поселениям было перечислено 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паспортизацию дорог 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1206610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содержание дорог в сумме  </w:t>
      </w:r>
      <w:r w:rsidR="00890106" w:rsidRP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16777836,3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45F25" w:rsidRPr="00827FCB" w:rsidRDefault="00C45F25" w:rsidP="00D125B7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 доходам Дорожного фонда от акцизов на автомобильный и прямогонный бензин, дизтопливо, моторные масла выполнен на 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или при плане 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40444395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41221920,34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Остаток средств 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фонда на 01.01.</w:t>
      </w:r>
      <w:r w:rsidR="006E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6771342,40 руб. 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18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8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поселениям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90106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дорог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0412 «Другие вопросы в области национальной экономики» при уточненных плановых назначениях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7898628,89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кассовые расходы составили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7806500,97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том числе по мероприятиям: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муниципальной программе «Создание условий для развития экономики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Добринского муниципального района на </w:t>
      </w:r>
      <w:r w:rsidR="00E73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</w:t>
      </w:r>
      <w:r w:rsidR="0004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годы» при уточненных плановых назначениях в сумме 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3869148,29</w:t>
      </w:r>
      <w:r w:rsidR="00927704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кассовые расходы исполнены на 100 %.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6525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"Развитие малого и среднего предпринимательства в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на </w:t>
      </w:r>
      <w:r w:rsidR="00E7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04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 расходы за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составили 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29900</w:t>
      </w:r>
      <w:r w:rsidR="0092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</w:t>
      </w:r>
      <w:r w:rsidR="00E4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E46525" w:rsidRPr="00E4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расходов по мероприятиям подпрограммы «Развитие потребительского рынка Добринского муниципального района на </w:t>
      </w:r>
      <w:r w:rsidR="0041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0F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0F195C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годы» за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составила 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1786182,37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100%</w:t>
      </w:r>
      <w:r w:rsidR="003C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поддержку</w:t>
      </w:r>
      <w:r w:rsidR="003C70EF" w:rsidRPr="003C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 и индивидуальных предпринимателей, осуществляющих торговое и бытовое обслуживание в сельских населенных пунктах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на:</w:t>
      </w:r>
    </w:p>
    <w:p w:rsidR="00C45F25" w:rsidRDefault="00C45F25" w:rsidP="00F03626">
      <w:pPr>
        <w:autoSpaceDE w:val="0"/>
        <w:autoSpaceDN w:val="0"/>
        <w:adjustRightInd w:val="0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на возмещение  части затрат юридических  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 не имеющих стационарные торговые объекты, и (или) имеющих стационарные  торговые объекты, в которых радиус пешеходной доступности до стационарного торгового объекта превышает 2 к</w:t>
      </w:r>
      <w:r w:rsidR="000F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11 км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сбора и доставки заказов  сельского населения  при оказании  бытовых услуг </w:t>
      </w:r>
      <w:r w:rsidR="0020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506427</w:t>
      </w:r>
      <w:r w:rsidR="0020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(областные средства – </w:t>
      </w:r>
      <w:r w:rsidR="00BD0BBF" w:rsidRP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1301757,96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районного бюджета -  </w:t>
      </w:r>
      <w:r w:rsidR="00BD0BBF" w:rsidRP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204669,41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на </w:t>
      </w:r>
      <w:r w:rsidR="0036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600EE" w:rsidRPr="0036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</w:t>
      </w:r>
      <w:r w:rsidR="0036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600EE" w:rsidRPr="0036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</w:t>
      </w:r>
      <w:r w:rsidR="0097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части затрат по ремонту автолавок и </w:t>
      </w:r>
      <w:r w:rsidR="003600EE" w:rsidRPr="0036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автомобильных шин для автолавок (автомобилей, оборудованных для организации развозной торговли с них)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279755</w:t>
      </w:r>
      <w:r w:rsidR="0036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Запланированные средства на мероприятия по подпрограмме «Развитие кооперации в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на </w:t>
      </w:r>
      <w:r w:rsidR="0013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0F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0F195C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годы» в сумме 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2053065,91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освоены на 100%, из них направлено на:</w:t>
      </w:r>
    </w:p>
    <w:p w:rsidR="00C45F25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субсидий </w:t>
      </w:r>
      <w:r w:rsidR="00067B95" w:rsidRPr="0006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 кредитным потребительским кооперативам на возмещение части затрат по уплате членских взносов в </w:t>
      </w:r>
      <w:r w:rsidR="0013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межрегиональную а</w:t>
      </w:r>
      <w:r w:rsidR="00067B95" w:rsidRPr="0006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ссоциацию сельскохозяйственных потребительских кредитных кооперативов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возмещение части затрат на обеспечение электронного документооборота и </w:t>
      </w:r>
      <w:r w:rsidR="00BD0BBF" w:rsidRPr="0036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обслуживанию расчетного счета кооператива в банках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B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(областные средства – </w:t>
      </w:r>
      <w:r w:rsidR="00BD0BBF" w:rsidRP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1799433,29</w:t>
      </w:r>
      <w:r w:rsidR="00067B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средства районного бюджета -  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253632,62</w:t>
      </w:r>
      <w:r w:rsidR="00067B9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25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муниципальной программе «Развитие системы эффективного муниципального управления Добринского муниципального района на </w:t>
      </w:r>
      <w:r w:rsidR="00A4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3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B62B2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годы» подпрограммы «Совершенствование системы управления муниципальным имуществом и земельными участками Добринского муниципального района» было израсходовано за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D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504000,00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межевание </w:t>
      </w:r>
      <w:r w:rsidR="0052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кадастр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участков. </w:t>
      </w:r>
    </w:p>
    <w:p w:rsidR="00A46F39" w:rsidRDefault="00A46F39" w:rsidP="00A46F39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="00574012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C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программы</w:t>
      </w:r>
      <w:r w:rsidR="00574012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населения Добринского района качественной инфраструктурой и услугами ЖКХ на </w:t>
      </w:r>
      <w:r w:rsidR="006E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7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574012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 w:rsidR="00C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израсходовано </w:t>
      </w:r>
      <w:r w:rsidR="00574012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039777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74012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45F25" w:rsidRPr="00827FCB" w:rsidRDefault="00C45F25" w:rsidP="00D125B7">
      <w:pPr>
        <w:autoSpaceDE w:val="0"/>
        <w:autoSpaceDN w:val="0"/>
        <w:adjustRightInd w:val="0"/>
        <w:spacing w:before="240"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0500 «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–коммунальное хозяйство» расходы профинансированы в сумме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39322745,78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годовых плановых назначениях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40859262,95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15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77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0501 «Жилищное хозяйство» при годовых плановых назначениях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10627383,88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произведены расходы в сумме </w:t>
      </w:r>
      <w:r w:rsidR="00BB3637" w:rsidRP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10590866,71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C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Взносы на капитальный ремонт многоквартирных домов муниципальных квартир при уточненном плане </w:t>
      </w:r>
      <w:r w:rsidR="00CD2E09" w:rsidRPr="00C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781110,88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</w:t>
      </w:r>
      <w:r w:rsidR="00CD2E09" w:rsidRPr="00C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744593,71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освоено </w:t>
      </w:r>
      <w:r w:rsidR="0094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средств. </w:t>
      </w:r>
      <w:r w:rsidR="00CD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районного бюджета в 2021 году построено 5 домов на общую сумму 9108000,00 руб. </w:t>
      </w:r>
    </w:p>
    <w:p w:rsidR="00C45F25" w:rsidRPr="00827FCB" w:rsidRDefault="00C45F25" w:rsidP="00D125B7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</w:t>
      </w:r>
      <w:r w:rsidRPr="006D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0502 «Коммунальное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хозяйство» при плановых назначениях </w:t>
      </w:r>
      <w:r w:rsidR="0071451E" w:rsidRPr="0071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26314177,47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в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составили </w:t>
      </w:r>
      <w:r w:rsidR="0071451E" w:rsidRPr="0071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24814177,47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="0094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1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обустройство площадок под контейнеры расходы районного бюджета составили </w:t>
      </w:r>
      <w:r w:rsidR="005410BF" w:rsidRPr="0054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2002936,8</w:t>
      </w:r>
      <w:r w:rsidR="0094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54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средств районного бюджета на ремонт и приобретение коммунальной техники израсходовано 22165654,87 руб.</w:t>
      </w:r>
      <w:r w:rsidR="00572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заключен договор на изготовление проектно-сметной документации по строительству </w:t>
      </w:r>
      <w:r w:rsidR="00D0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водоснабжения в сумме 1500000,00 руб., но оплата будет проведена по актам выполненных работ в 2022 году.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7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 0503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«Благоустройство» расходы составили </w:t>
      </w:r>
      <w:r w:rsidR="0071451E" w:rsidRPr="0071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3917701,6</w:t>
      </w:r>
      <w:r w:rsidR="0071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71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расходы произведены из резервного фонда администрации района в виде финансовой помощи сельским поселением на приобретение техники для работ по благоустройству</w:t>
      </w:r>
      <w:r w:rsidR="0077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25" w:rsidRPr="00827FCB" w:rsidRDefault="00C45F25" w:rsidP="0071451E">
      <w:pPr>
        <w:autoSpaceDE w:val="0"/>
        <w:autoSpaceDN w:val="0"/>
        <w:adjustRightInd w:val="0"/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</w:t>
      </w:r>
      <w:r w:rsidRPr="0045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целом по району освоены на </w:t>
      </w:r>
      <w:r w:rsid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или при уточненном плане </w:t>
      </w:r>
      <w:r w:rsidR="00393D79" w:rsidRP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601632228,58</w:t>
      </w:r>
      <w:r w:rsid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профинансировано в сумме </w:t>
      </w:r>
      <w:r w:rsidR="00393D79" w:rsidRP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528037414,96</w:t>
      </w:r>
      <w:r w:rsid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в разрезе учреждений осваивались в пределах выделенных ассигнований. Расходы по оплате труда с начислениями произведены в пределах плановых назначений и освоены полностью. </w:t>
      </w:r>
    </w:p>
    <w:p w:rsidR="00C45F25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0701 «Дошкольное образование». Исполнение расходов по дошкольному образованию составило </w:t>
      </w:r>
      <w:r w:rsidR="00393D79" w:rsidRP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51895703,48</w:t>
      </w:r>
      <w:r w:rsidR="0019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уточненному годовому плану </w:t>
      </w:r>
      <w:r w:rsidR="00393D79" w:rsidRP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53272467,1</w:t>
      </w:r>
      <w:r w:rsidR="0039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в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функционировало 6 муниципальных детских садов, 5 из которых имеют статус автономного учреждения и 1 – бюджетного учреждения, где функционировала 21 </w:t>
      </w:r>
      <w:r w:rsidR="0019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с наполняемостью </w:t>
      </w:r>
      <w:r w:rsidR="00191733" w:rsidRPr="00B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B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A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воспитанники детских садов получали трехразовое питание на сумму 80,0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плановой денежной норме 80,0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родительской платы в детском саду составляет 1</w:t>
      </w:r>
      <w:r w:rsidR="0051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в месяц. </w:t>
      </w:r>
    </w:p>
    <w:p w:rsidR="00722160" w:rsidRDefault="00722160" w:rsidP="0072216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содержание детсадов в 2021 году в рамках программы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составили 50235390,55 руб.,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субвенции из областного бюджета 37734117,00 руб. </w:t>
      </w:r>
    </w:p>
    <w:p w:rsidR="00722160" w:rsidRDefault="00722160" w:rsidP="0072216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«Обеспечение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2019-2024 годы» на проектно-сметную документацию по ремонту д/с №4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260000,00 руб.</w:t>
      </w:r>
    </w:p>
    <w:p w:rsidR="00722160" w:rsidRPr="00827FCB" w:rsidRDefault="00EA0A1C" w:rsidP="00722160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программы «</w:t>
      </w:r>
      <w:r w:rsidR="00722160" w:rsidRPr="007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на территории </w:t>
      </w:r>
      <w:proofErr w:type="spellStart"/>
      <w:r w:rsidR="00722160" w:rsidRPr="0072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722160" w:rsidRPr="007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охране зданий израсходовано 1400312,93 руб.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подразделу 0702 «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образование» расходы были произведены на сумму </w:t>
      </w:r>
      <w:r w:rsidR="00EA0A1C" w:rsidRPr="00EA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402681419,76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A0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A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плановых назначений.</w:t>
      </w:r>
      <w:r w:rsidR="0060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Основную долю составляют расходы на оплату труда и начисления – </w:t>
      </w:r>
      <w:r w:rsidR="008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71,0</w:t>
      </w:r>
      <w:r w:rsidR="0060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состоянию на 01.01.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районе функционируют 11 образовательных учреждений (в том числе 11 базовых школ с </w:t>
      </w:r>
      <w:r w:rsidR="008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 филиа</w:t>
      </w:r>
      <w:r w:rsidR="009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лами). Кроме того, в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96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детей в школах дополнительно занимаются </w:t>
      </w:r>
      <w:r w:rsidR="0079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79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0A1C" w:rsidRDefault="00EA0A1C" w:rsidP="00EA0A1C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7284F">
        <w:rPr>
          <w:rFonts w:ascii="Times New Roman" w:hAnsi="Times New Roman" w:cs="Times New Roman"/>
          <w:sz w:val="28"/>
          <w:szCs w:val="28"/>
        </w:rPr>
        <w:t>Средства областного бюджета на финансирование государственных гарантий прав граждан на получение общедоступного и бесплатного общего образования на основании закона Липецкой области от 19.08.2008 г. № 180-ОЗ «О нормативах финансирования общеобразовательных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на оплату труда с начислениями и учебные расходы составили в сумме 282679523,00 руб. </w:t>
      </w:r>
      <w:r w:rsidR="00CC6520">
        <w:rPr>
          <w:rFonts w:ascii="Times New Roman" w:hAnsi="Times New Roman" w:cs="Times New Roman"/>
          <w:sz w:val="28"/>
          <w:szCs w:val="28"/>
        </w:rPr>
        <w:t xml:space="preserve">Из федерального бюджета за классное руководство доплаты </w:t>
      </w:r>
      <w:proofErr w:type="spellStart"/>
      <w:r w:rsidR="00CC6520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CC6520">
        <w:rPr>
          <w:rFonts w:ascii="Times New Roman" w:hAnsi="Times New Roman" w:cs="Times New Roman"/>
          <w:sz w:val="28"/>
          <w:szCs w:val="28"/>
        </w:rPr>
        <w:t xml:space="preserve"> составили 13940038,62 руб.</w:t>
      </w:r>
    </w:p>
    <w:p w:rsidR="00EA0A1C" w:rsidRPr="00827FCB" w:rsidRDefault="00EA0A1C" w:rsidP="00EA0A1C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F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 w:rsidRPr="000D73F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0D73F9">
        <w:rPr>
          <w:rFonts w:ascii="Times New Roman" w:hAnsi="Times New Roman" w:cs="Times New Roman"/>
          <w:bCs/>
          <w:sz w:val="28"/>
          <w:szCs w:val="28"/>
        </w:rPr>
        <w:t xml:space="preserve"> с областным бюджетом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предусмотрены средства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 на пристройку спортзала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МБОУ СОШ 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«Лицей №1»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п.Добринка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1A0680">
        <w:rPr>
          <w:rFonts w:ascii="Times New Roman" w:hAnsi="Times New Roman" w:cs="Times New Roman"/>
          <w:bCs/>
          <w:sz w:val="28"/>
          <w:szCs w:val="28"/>
        </w:rPr>
        <w:t>86258928,53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 руб., средства областного бюджета 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 год выделены в объеме </w:t>
      </w:r>
      <w:r>
        <w:rPr>
          <w:rFonts w:ascii="Times New Roman" w:hAnsi="Times New Roman" w:cs="Times New Roman"/>
          <w:bCs/>
          <w:sz w:val="28"/>
          <w:szCs w:val="28"/>
        </w:rPr>
        <w:t>76824</w:t>
      </w:r>
      <w:r w:rsidR="001A068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A0680">
        <w:rPr>
          <w:rFonts w:ascii="Times New Roman" w:hAnsi="Times New Roman" w:cs="Times New Roman"/>
          <w:bCs/>
          <w:sz w:val="28"/>
          <w:szCs w:val="28"/>
        </w:rPr>
        <w:t xml:space="preserve">4,00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руб. </w:t>
      </w:r>
      <w:r w:rsidRPr="000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муниципальную программу «Обеспечение населения </w:t>
      </w:r>
      <w:proofErr w:type="spellStart"/>
      <w:r w:rsidRPr="000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качественной инфраструктурой и услугами ЖКХ на 2019-2024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годы», расходы составили </w:t>
      </w:r>
      <w:r w:rsidR="001A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26491533,95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1A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="001A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1A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областного бюджета – 21278353,23 руб.). Не освоение средств произошло в связи с незавершенностью строительства по вине подрядчика, которое будет продолжено в 2022 году. </w:t>
      </w:r>
    </w:p>
    <w:p w:rsidR="00EA0A1C" w:rsidRDefault="001A0680" w:rsidP="00EA0A1C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ремонт системы отопления в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областного бюджеты выделены межбюджетные трансферты в сумме 2 651370,00 руб.</w:t>
      </w:r>
    </w:p>
    <w:p w:rsidR="00A4230C" w:rsidRDefault="00A4230C" w:rsidP="00EA0A1C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цента «Точка роста» в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ремонт помещений на общую сумму 1699860,00 руб. и на оснащение мебелью и интерактивным комплексом израсходовано 742283,00 руб.</w:t>
      </w:r>
    </w:p>
    <w:p w:rsidR="00FD5A93" w:rsidRPr="00CC6520" w:rsidRDefault="001A0680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областным бюджетом через муниципальную программу «Обеспечение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2019-2024 годы» на реконструкцию системы теплоснабжения с применением энергосберегающего оборудования и технологий в ГДО МБОУ СШ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ст.Хворостянка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</w:t>
      </w:r>
      <w:r w:rsidR="00FD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D5A93" w:rsidRPr="00F9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1497465,09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районного бюджета </w:t>
      </w:r>
      <w:r w:rsidR="00FD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356439,16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обл. </w:t>
      </w:r>
      <w:r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— </w:t>
      </w:r>
      <w:r w:rsidR="00FD5A93"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1141025,93</w:t>
      </w:r>
      <w:r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C6520" w:rsidRPr="00CC6520" w:rsidRDefault="00CC6520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520">
        <w:rPr>
          <w:rFonts w:ascii="Times New Roman" w:eastAsia="Calibri" w:hAnsi="Times New Roman" w:cs="Times New Roman"/>
          <w:sz w:val="28"/>
          <w:szCs w:val="28"/>
        </w:rPr>
        <w:t xml:space="preserve">На создание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СОШ </w:t>
      </w:r>
      <w:r w:rsidRPr="000D73F9">
        <w:rPr>
          <w:rFonts w:ascii="Times New Roman" w:hAnsi="Times New Roman" w:cs="Times New Roman"/>
          <w:bCs/>
          <w:sz w:val="28"/>
          <w:szCs w:val="28"/>
        </w:rPr>
        <w:t xml:space="preserve">«Лицей №1»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п.Добринка</w:t>
      </w:r>
      <w:proofErr w:type="spellEnd"/>
      <w:r w:rsidRPr="00CC6520">
        <w:rPr>
          <w:rFonts w:ascii="Times New Roman" w:eastAsia="Calibri" w:hAnsi="Times New Roman" w:cs="Times New Roman"/>
          <w:sz w:val="28"/>
          <w:szCs w:val="28"/>
        </w:rPr>
        <w:t xml:space="preserve"> условий для инклюзивного образования детей-инвалидов, в том числе создание универсальной </w:t>
      </w:r>
      <w:proofErr w:type="spellStart"/>
      <w:r w:rsidRPr="00CC6520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CC6520">
        <w:rPr>
          <w:rFonts w:ascii="Times New Roman" w:eastAsia="Calibri" w:hAnsi="Times New Roman" w:cs="Times New Roman"/>
          <w:sz w:val="28"/>
          <w:szCs w:val="28"/>
        </w:rPr>
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областным бюджетом в 2021 году расходы составили 4946236,56 руб., из них средства областного бюджета – 4600000,00 руб.</w:t>
      </w:r>
    </w:p>
    <w:p w:rsidR="00855DC4" w:rsidRPr="00827FCB" w:rsidRDefault="00855DC4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повышение квалификации педагогических работников израсходовано </w:t>
      </w:r>
      <w:r w:rsid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339302,00</w:t>
      </w:r>
      <w:r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из них </w:t>
      </w:r>
      <w:r w:rsidR="00CC6520"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 w:rsidR="00CC6520"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CC6520"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областного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FD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109963,12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45F25" w:rsidRPr="00827FCB" w:rsidRDefault="00FD5A93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областным бюджетом в 2021 году было приобретено 2 автобуса для подвоза учащихся на общую сумму 4798000,00 руб., областные средства из которых составили 3554462,23 руб.</w:t>
      </w:r>
    </w:p>
    <w:p w:rsidR="00A1551F" w:rsidRPr="00D06C40" w:rsidRDefault="00A1551F" w:rsidP="00A1551F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</w:t>
      </w:r>
      <w:r w:rsidRPr="007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на территории </w:t>
      </w:r>
      <w:proofErr w:type="spellStart"/>
      <w:r w:rsidRPr="0072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2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мероприятия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физ.охране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установке охранной сигнализации зданий израсходовано 3987997,19 руб.</w:t>
      </w:r>
      <w:r w:rsidR="00D0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освоены средства по заключенным контрактам в сумме </w:t>
      </w:r>
      <w:r w:rsidR="00D06C40" w:rsidRPr="00D06C40">
        <w:rPr>
          <w:rFonts w:ascii="Times New Roman" w:eastAsia="Times New Roman" w:hAnsi="Times New Roman" w:cs="Times New Roman"/>
          <w:sz w:val="28"/>
          <w:szCs w:val="28"/>
          <w:lang w:eastAsia="ru-RU"/>
        </w:rPr>
        <w:t>2305903</w:t>
      </w:r>
      <w:r w:rsidR="00D06C40">
        <w:rPr>
          <w:rFonts w:ascii="Times New Roman" w:eastAsia="Times New Roman" w:hAnsi="Times New Roman" w:cs="Times New Roman"/>
          <w:sz w:val="28"/>
          <w:szCs w:val="28"/>
          <w:lang w:eastAsia="ru-RU"/>
        </w:rPr>
        <w:t>,35 руб.</w:t>
      </w:r>
      <w:r w:rsidR="0022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оплачены в 2022 году в соответствии с </w:t>
      </w:r>
      <w:r w:rsidR="0022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выполненных работ в образовательных учреждениях.</w:t>
      </w:r>
    </w:p>
    <w:p w:rsidR="00C45F25" w:rsidRPr="00827FCB" w:rsidRDefault="00C45F25" w:rsidP="002973B9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подпрограммы «Поддержка одаренных детей и их наставников» муниципальной программы «Развитие образования Добринского муниципального района на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B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9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B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по мероприятиям на реализацию творческого потенциала детей района и поддержки деятельности одаренных детей, преподавателей и образовательных учреждений, работающих с одаренными детьми, было направлено в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FB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1575261,29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654B7E" w:rsidRDefault="00C45F25" w:rsidP="00D1565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функционируют 4 учреждения дополнительного образования детей, 2 из которых бюджетные и 2- автономные, в них занимается </w:t>
      </w:r>
      <w:r w:rsid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3934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</w:t>
      </w:r>
      <w:r w:rsid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подразделу 0703 «Дополнительное образование детей» на содержание внешкольных учреждений при годовых плановых назначениях </w:t>
      </w:r>
      <w:r w:rsidR="00654B7E"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50757746</w:t>
      </w:r>
      <w:r w:rsid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654B7E"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кассовые расходы сложились в сумме </w:t>
      </w:r>
      <w:r w:rsidR="00654B7E"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50077690,49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8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654B7E" w:rsidRDefault="00654B7E" w:rsidP="00D1565B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B7E">
        <w:rPr>
          <w:rFonts w:ascii="Times New Roman" w:eastAsia="Calibri" w:hAnsi="Times New Roman" w:cs="Times New Roman"/>
          <w:sz w:val="28"/>
          <w:szCs w:val="28"/>
        </w:rPr>
        <w:t xml:space="preserve">На государственную поддержку отрасли культуры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654B7E">
        <w:rPr>
          <w:rFonts w:ascii="Times New Roman" w:eastAsia="Calibri" w:hAnsi="Times New Roman" w:cs="Times New Roman"/>
          <w:sz w:val="28"/>
          <w:szCs w:val="28"/>
        </w:rPr>
        <w:t>оснащени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54B7E">
        <w:rPr>
          <w:rFonts w:ascii="Times New Roman" w:eastAsia="Calibri" w:hAnsi="Times New Roman" w:cs="Times New Roman"/>
          <w:sz w:val="28"/>
          <w:szCs w:val="28"/>
        </w:rPr>
        <w:t xml:space="preserve"> музыкальными инструментами, оборудованием и учебными материалами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ДДШИ «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Добринская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 им. Н.А. Обуховой»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средства в сумме 5323232,33 руб., из которых средства федерального и областного бюджетов составили 5270000,00 руб.</w:t>
      </w:r>
    </w:p>
    <w:p w:rsidR="00654B7E" w:rsidRDefault="00654B7E" w:rsidP="00654B7E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мероприятия</w:t>
      </w:r>
      <w:r w:rsidRPr="003D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"Обеспечение персонифицированного финансирования дополнительного образования детей"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«Развитие образования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израсходовано 3611165,60 руб.</w:t>
      </w:r>
    </w:p>
    <w:p w:rsidR="00654B7E" w:rsidRPr="00827FCB" w:rsidRDefault="00654B7E" w:rsidP="00654B7E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F25"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0707 «Молодежная политика и оздоровление детей» произведены расходы в сумме </w:t>
      </w:r>
      <w:r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4058851,93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1565B"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565B" w:rsidRPr="0065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F25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годовых назначений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на </w:t>
      </w:r>
      <w:r w:rsidR="0082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оздоровительных лагерях дневного пребывания </w:t>
      </w:r>
      <w:r w:rsidR="0082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3790313,93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0709 «Другие вопросы в области образования» расходы произведены в общей сумме </w:t>
      </w:r>
      <w:r w:rsidR="00AD0565" w:rsidRPr="00AD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19323749,3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Ведением учета и отчетности по образованию занимается муниципальное бюджетное учреждение «Бухгалтерия учреждений образования». До бюджетного учреждения на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доведено муниципальное задание. План ФХД и все необходимые документы размещены на официальном сайте министерства финансов РФ в сети Интернет. Годовые назначения в сумме </w:t>
      </w:r>
      <w:r w:rsidR="00FF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5008622,32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освоены в сумме </w:t>
      </w:r>
      <w:r w:rsidR="00AD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14922923,77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AD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99,4</w:t>
      </w:r>
      <w:r w:rsidR="002E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45F25" w:rsidRPr="00827FCB" w:rsidRDefault="00C45F25" w:rsidP="00A959C2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содержание отдела образования направлено </w:t>
      </w:r>
      <w:r w:rsidR="00AD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4400825,53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расходы произведены в пределах сметных назначений.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0800 «Культура, кинематография» расходы </w:t>
      </w:r>
      <w:r w:rsidR="00BB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составили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97297262,03</w:t>
      </w:r>
      <w:r w:rsid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плане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98074401,37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9</w:t>
      </w:r>
      <w:r w:rsidR="00E0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:rsidR="00C45F25" w:rsidRPr="000F46D0" w:rsidRDefault="00C45F25" w:rsidP="000F46D0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0801 «Культура» расходы составили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73770329,97</w:t>
      </w:r>
      <w:r w:rsid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на выполнение муниципальных заданий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62137979,49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E0625A" w:rsidRDefault="00E0625A" w:rsidP="00E0625A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обеспечение развития и укрепления материально- технической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«</w:t>
      </w:r>
      <w:proofErr w:type="spellStart"/>
      <w:r w:rsidRPr="002A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Добринская</w:t>
      </w:r>
      <w:proofErr w:type="spellEnd"/>
      <w:r w:rsidRPr="002A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клубная система</w:t>
      </w:r>
      <w:r w:rsidRPr="0057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6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 451028,55 руб. (из них средства бюджетов: федерального -302008,71 руб., областного – 117447,84 руб. и районного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31572,00 руб.), расходы произведены в полном объеме.</w:t>
      </w:r>
    </w:p>
    <w:p w:rsidR="00E0625A" w:rsidRDefault="00E0625A" w:rsidP="00E0625A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учреждений культуры </w:t>
      </w:r>
      <w:r w:rsidRPr="000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муниципальную программу «Обеспечение населения </w:t>
      </w:r>
      <w:proofErr w:type="spellStart"/>
      <w:r w:rsidRPr="000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качественной инфраструктурой и услугами ЖКХ на 2019-2024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предусмотрены и израсходованы средства в сумме </w:t>
      </w:r>
      <w:r w:rsidRPr="00E0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4897615,2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оплата произведена согласно актов выполненных работ.</w:t>
      </w:r>
    </w:p>
    <w:p w:rsidR="00E0625A" w:rsidRPr="00A023B8" w:rsidRDefault="00E0625A" w:rsidP="00E0625A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регионального проекта «Творческие люди» на повышение квалификации работников культуры выделено и израсходовано 421</w:t>
      </w:r>
      <w:r w:rsid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02,90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из </w:t>
      </w:r>
      <w:r w:rsidRP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за счет областного бюджета 321</w:t>
      </w:r>
      <w:r w:rsidR="00A023B8" w:rsidRP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02,90</w:t>
      </w:r>
      <w:r w:rsidRP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0625A" w:rsidRPr="00A023B8" w:rsidRDefault="00A023B8" w:rsidP="00E0625A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B8">
        <w:rPr>
          <w:rFonts w:ascii="Times New Roman" w:eastAsia="Calibri" w:hAnsi="Times New Roman" w:cs="Times New Roman"/>
          <w:sz w:val="28"/>
          <w:szCs w:val="28"/>
        </w:rPr>
        <w:t>Н</w:t>
      </w:r>
      <w:r w:rsidR="00E0625A" w:rsidRPr="00A023B8">
        <w:rPr>
          <w:rFonts w:ascii="Times New Roman" w:eastAsia="Calibri" w:hAnsi="Times New Roman" w:cs="Times New Roman"/>
          <w:sz w:val="28"/>
          <w:szCs w:val="28"/>
        </w:rPr>
        <w:t>а организацию библиотечного обслуживания населения в части комплектования книжных фондов библиотек муниципальн</w:t>
      </w:r>
      <w:r w:rsidRPr="00A023B8">
        <w:rPr>
          <w:rFonts w:ascii="Times New Roman" w:eastAsia="Calibri" w:hAnsi="Times New Roman" w:cs="Times New Roman"/>
          <w:sz w:val="28"/>
          <w:szCs w:val="28"/>
        </w:rPr>
        <w:t>ого</w:t>
      </w:r>
      <w:r w:rsidR="00E0625A" w:rsidRPr="00A023B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A023B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условиях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израсходовано 401307,10 руб., из них средства из федерального и областного бюджетов составили 373215,61 руб.</w:t>
      </w:r>
    </w:p>
    <w:p w:rsidR="00E0625A" w:rsidRDefault="00E0625A" w:rsidP="00E0625A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создание </w:t>
      </w:r>
      <w:r w:rsidRPr="0056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модельных</w:t>
      </w:r>
      <w:r w:rsidRP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библиотек бюджету района выделено 5 000</w:t>
      </w:r>
      <w:r w:rsid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 из федерального бюджета</w:t>
      </w:r>
      <w:r w:rsidR="008C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регионального проекта «Культурная среда»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освоены полностью.</w:t>
      </w:r>
    </w:p>
    <w:p w:rsidR="00E0625A" w:rsidRDefault="00E0625A" w:rsidP="00E0625A">
      <w:pPr>
        <w:autoSpaceDE w:val="0"/>
        <w:autoSpaceDN w:val="0"/>
        <w:adjustRightInd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областным бюджетом через муниципальную программу «Обеспечение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2019-2024 годы» на реконструкцию системы теплоснабжения с применением энергосберегающего оборудования и технологий в сельском доме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с.Ольховка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840296,73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районного бюджета </w:t>
      </w:r>
      <w:r w:rsid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80419,78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обл. средства — </w:t>
      </w:r>
      <w:r w:rsidR="00A023B8" w:rsidRP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759876,95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A0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F25" w:rsidRPr="00827FCB" w:rsidRDefault="00C45F25" w:rsidP="002973B9">
      <w:pPr>
        <w:autoSpaceDE w:val="0"/>
        <w:autoSpaceDN w:val="0"/>
        <w:adjustRightInd w:val="0"/>
        <w:spacing w:line="276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0804 «Другие вопросы в области культуры, кинематографии» исполнение сложилось в сумме </w:t>
      </w:r>
      <w:r w:rsidR="0081486F" w:rsidRPr="0081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23526932,06</w:t>
      </w:r>
      <w:r w:rsidR="0043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т. ч. за счет средств поселений и районного бюджета профинансировано содержание МБУ «Центр обслуживания учреждений культуры» в сумме </w:t>
      </w:r>
      <w:r w:rsidR="009D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19347942,79</w:t>
      </w:r>
      <w:r w:rsidR="0043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содержание отдела культуры проведены в пределах сметных назначений</w:t>
      </w:r>
      <w:r w:rsidR="0043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14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2481661,55</w:t>
      </w:r>
      <w:r w:rsidR="0043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C45F25" w:rsidRPr="00827FCB" w:rsidRDefault="00C45F25" w:rsidP="002973B9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1000 «Социальная политика» сложились в сумме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46875498,43</w:t>
      </w:r>
      <w:r w:rsid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уточненных плановых назначениях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49019586,74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освоение составило </w:t>
      </w:r>
      <w:r w:rsidR="0043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3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C45F25" w:rsidRPr="009A4F95" w:rsidRDefault="00C45F25" w:rsidP="009A4F95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1001 «Пенсионное обеспечение» из районного бюджета выплачены доплаты к пенсиям муниципальным служащим в </w:t>
      </w:r>
      <w:r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7 404 799,58</w:t>
      </w:r>
      <w:r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F25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1003 «Социальное обеспечение населения» при плановых назначениях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26961340,16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кассовые расходы сложились в сумме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24833731,85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4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54059" w:rsidRDefault="00154059" w:rsidP="00154059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66F1">
        <w:rPr>
          <w:rFonts w:ascii="Times New Roman" w:hAnsi="Times New Roman" w:cs="Times New Roman"/>
          <w:sz w:val="28"/>
          <w:szCs w:val="28"/>
        </w:rPr>
        <w:t xml:space="preserve">На питание учащихся за счет средств областной субвенции согласно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66F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6F1">
        <w:rPr>
          <w:rFonts w:ascii="Times New Roman" w:hAnsi="Times New Roman" w:cs="Times New Roman"/>
          <w:sz w:val="28"/>
          <w:szCs w:val="28"/>
        </w:rPr>
        <w:t xml:space="preserve"> Липецкой области от 27 декабря 2007 года № 119-ОЗ «О наделении органов местного самоуправления отдельными государственными полномочиями в сфере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расходы составили 6979356,93 руб.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счет межбюджетных трансфертов из федерального и областного бюджетов организовано горячее питание для учащихся начальных классов, при плане 10686381,88 руб. расходы составили 8757093,92 руб.</w:t>
      </w:r>
    </w:p>
    <w:p w:rsidR="00154059" w:rsidRDefault="00154059" w:rsidP="00154059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66F1">
        <w:rPr>
          <w:rFonts w:ascii="Times New Roman" w:hAnsi="Times New Roman" w:cs="Times New Roman"/>
          <w:sz w:val="28"/>
          <w:szCs w:val="28"/>
        </w:rPr>
        <w:t>На приобретение школьной и спортивной формы для детей из многодетных семей предусмотрено областной субвенцией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6F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54059">
        <w:rPr>
          <w:rFonts w:ascii="Times New Roman" w:hAnsi="Times New Roman" w:cs="Times New Roman"/>
          <w:sz w:val="28"/>
          <w:szCs w:val="28"/>
        </w:rPr>
        <w:t>3458930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B66F1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Pr="00154059">
        <w:rPr>
          <w:rFonts w:ascii="Times New Roman" w:hAnsi="Times New Roman" w:cs="Times New Roman"/>
          <w:sz w:val="28"/>
          <w:szCs w:val="28"/>
        </w:rPr>
        <w:t>3456710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B66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54059" w:rsidRPr="003B66F1" w:rsidRDefault="00154059" w:rsidP="00154059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материальной помощи гражданам, находящихся в трудной жизненной ситуации из резервного фонда муниципального района выплачено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2220150,00</w:t>
      </w:r>
      <w:r w:rsidRPr="003B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на программные мероприятия по улучшению демографии в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1220000</w:t>
      </w:r>
      <w:r w:rsidRPr="003B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B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</w:t>
      </w:r>
    </w:p>
    <w:p w:rsidR="00154059" w:rsidRPr="00827FCB" w:rsidRDefault="00154059" w:rsidP="00154059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при плане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380000,0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кассовые расходы составили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2200421,00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1004 «Охрана семьи и детства» за </w:t>
      </w:r>
      <w:r w:rsidR="0032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израсходовано </w:t>
      </w:r>
      <w:r w:rsidR="00154059" w:rsidRPr="0015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11393947</w:t>
      </w:r>
      <w:r w:rsidR="0015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плановых назначениях </w:t>
      </w:r>
      <w:r w:rsidR="00154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C45F25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</w:t>
      </w:r>
      <w:r w:rsidR="00891B9B"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1836098</w:t>
      </w:r>
      <w:r w:rsidR="00D8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E21B48" w:rsidRPr="00827FCB" w:rsidRDefault="00E21B48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</w:t>
      </w:r>
      <w:r w:rsidRPr="00E2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96480,00 руб.</w:t>
      </w:r>
    </w:p>
    <w:p w:rsidR="00C45F25" w:rsidRPr="00891B9B" w:rsidRDefault="00C45F25" w:rsidP="002973B9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приемной семье на 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подопечных детей</w:t>
      </w:r>
      <w:r w:rsidR="00891B9B"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1B9B" w:rsidRPr="00891B9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91B9B">
        <w:rPr>
          <w:rFonts w:ascii="Times New Roman" w:eastAsia="Calibri" w:hAnsi="Times New Roman" w:cs="Times New Roman"/>
          <w:sz w:val="28"/>
          <w:szCs w:val="28"/>
        </w:rPr>
        <w:t>также</w:t>
      </w:r>
      <w:r w:rsidR="00891B9B" w:rsidRPr="00891B9B">
        <w:rPr>
          <w:rFonts w:ascii="Times New Roman" w:eastAsia="Calibri" w:hAnsi="Times New Roman" w:cs="Times New Roman"/>
          <w:sz w:val="28"/>
          <w:szCs w:val="28"/>
        </w:rPr>
        <w:t xml:space="preserve"> вознаграждение, причитающееся приемному родителю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24C95"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произведены 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9461369,00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F25" w:rsidRPr="00827FCB" w:rsidRDefault="00C45F25" w:rsidP="002973B9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подразделу 1006 «Другие вопросы в области социальной политики» произведены расходы по 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содержанию </w:t>
      </w:r>
      <w:r w:rsidR="00891B9B" w:rsidRPr="00891B9B">
        <w:rPr>
          <w:rFonts w:ascii="Times New Roman" w:eastAsia="Calibri" w:hAnsi="Times New Roman" w:cs="Times New Roman"/>
          <w:sz w:val="28"/>
          <w:szCs w:val="28"/>
        </w:rPr>
        <w:t xml:space="preserve">численности специалистов, осуществляющих деятельность </w:t>
      </w:r>
      <w:r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и попечительства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891B9B" w:rsidRP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3243500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99,5% от годовых назначений.</w:t>
      </w:r>
    </w:p>
    <w:p w:rsidR="00C45F25" w:rsidRPr="00827FCB" w:rsidRDefault="00C45F25" w:rsidP="002973B9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«Физическая культура и спорт» расходы </w:t>
      </w:r>
      <w:r w:rsidR="00E21B48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мероприятия по развитию массового спорта в районе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</w:t>
      </w:r>
      <w:r w:rsidR="009A4F95" w:rsidRPr="009A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1852827,98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районного бюджета составили </w:t>
      </w:r>
      <w:r w:rsid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1399514,35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субсидии из областного бюджета</w:t>
      </w:r>
      <w:r w:rsidR="0089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в сумме 453313,63 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полученные на условиях 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5F25" w:rsidRPr="00827FCB" w:rsidRDefault="00C45F25" w:rsidP="00F03626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подразделу 1202 «Периодическая печать и издательство» финансировалось муниципальное автономное учреждение «Редакция газеты «</w:t>
      </w:r>
      <w:proofErr w:type="spellStart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вести». На поддержку редакции по выпуску газеты из районного бюджета выделено субсидий </w:t>
      </w:r>
      <w:r w:rsidR="00333A6E" w:rsidRPr="0033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4392849,44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CC1"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средства были направлены на частичное покрытие расходов по оплате полиграфических услуг и ее </w:t>
      </w:r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распространение, выплату заработной платы с начислениями. До учреждения было доведено муниципальное задание и ПФХД. План ПФХД и все необходимые документы по учреждению размещены в сети Интернет на сайте Министерства финансов Российской Федерации (</w:t>
      </w:r>
      <w:hyperlink r:id="rId7" w:history="1">
        <w:r w:rsidRPr="00827F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82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A4F95" w:rsidRDefault="009A4F95" w:rsidP="009A4F95">
      <w:pPr>
        <w:spacing w:before="240"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spellStart"/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не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задолженности по 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областным бюджетом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расходы на обслуживание муниципального долга не производились</w:t>
      </w:r>
      <w:r w:rsidRPr="004D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FCB" w:rsidRPr="00827FCB" w:rsidRDefault="00827FCB" w:rsidP="00F036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7FCB" w:rsidRPr="00827FCB" w:rsidRDefault="00827FCB" w:rsidP="00827FCB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125B7" w:rsidRDefault="00D125B7" w:rsidP="00D125B7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7FCB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27FCB" w:rsidRPr="00827FCB" w:rsidRDefault="00D125B7" w:rsidP="00D125B7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7FCB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О.А.Быкова</w:t>
      </w:r>
      <w:proofErr w:type="spellEnd"/>
    </w:p>
    <w:sectPr w:rsidR="00827FCB" w:rsidRPr="00827FCB" w:rsidSect="006D6E87">
      <w:footerReference w:type="default" r:id="rId8"/>
      <w:pgSz w:w="12240" w:h="15840"/>
      <w:pgMar w:top="993" w:right="851" w:bottom="85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BB" w:rsidRDefault="002B21BB" w:rsidP="00FF609F">
      <w:pPr>
        <w:spacing w:after="0" w:line="240" w:lineRule="auto"/>
      </w:pPr>
      <w:r>
        <w:separator/>
      </w:r>
    </w:p>
  </w:endnote>
  <w:endnote w:type="continuationSeparator" w:id="0">
    <w:p w:rsidR="002B21BB" w:rsidRDefault="002B21BB" w:rsidP="00FF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072214"/>
      <w:docPartObj>
        <w:docPartGallery w:val="Page Numbers (Bottom of Page)"/>
        <w:docPartUnique/>
      </w:docPartObj>
    </w:sdtPr>
    <w:sdtEndPr/>
    <w:sdtContent>
      <w:p w:rsidR="00FF609F" w:rsidRDefault="00FF60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87">
          <w:rPr>
            <w:noProof/>
          </w:rPr>
          <w:t>12</w:t>
        </w:r>
        <w:r>
          <w:fldChar w:fldCharType="end"/>
        </w:r>
      </w:p>
    </w:sdtContent>
  </w:sdt>
  <w:p w:rsidR="00FF609F" w:rsidRDefault="00FF60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BB" w:rsidRDefault="002B21BB" w:rsidP="00FF609F">
      <w:pPr>
        <w:spacing w:after="0" w:line="240" w:lineRule="auto"/>
      </w:pPr>
      <w:r>
        <w:separator/>
      </w:r>
    </w:p>
  </w:footnote>
  <w:footnote w:type="continuationSeparator" w:id="0">
    <w:p w:rsidR="002B21BB" w:rsidRDefault="002B21BB" w:rsidP="00FF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97"/>
    <w:rsid w:val="000029AC"/>
    <w:rsid w:val="00007260"/>
    <w:rsid w:val="00023FCF"/>
    <w:rsid w:val="0002780E"/>
    <w:rsid w:val="000401D0"/>
    <w:rsid w:val="00053720"/>
    <w:rsid w:val="00057925"/>
    <w:rsid w:val="00067B95"/>
    <w:rsid w:val="000A042D"/>
    <w:rsid w:val="000D4F97"/>
    <w:rsid w:val="000F0B50"/>
    <w:rsid w:val="000F195C"/>
    <w:rsid w:val="000F46D0"/>
    <w:rsid w:val="000F4CB4"/>
    <w:rsid w:val="001170B2"/>
    <w:rsid w:val="001307D1"/>
    <w:rsid w:val="00137DDB"/>
    <w:rsid w:val="00141D01"/>
    <w:rsid w:val="0014784E"/>
    <w:rsid w:val="00152F48"/>
    <w:rsid w:val="00154059"/>
    <w:rsid w:val="001572BC"/>
    <w:rsid w:val="00160C06"/>
    <w:rsid w:val="001614EF"/>
    <w:rsid w:val="001671F3"/>
    <w:rsid w:val="00176F92"/>
    <w:rsid w:val="00177EAC"/>
    <w:rsid w:val="00181E8D"/>
    <w:rsid w:val="0018432A"/>
    <w:rsid w:val="001913BB"/>
    <w:rsid w:val="00191733"/>
    <w:rsid w:val="00192315"/>
    <w:rsid w:val="001A0680"/>
    <w:rsid w:val="001A3A84"/>
    <w:rsid w:val="001B78A7"/>
    <w:rsid w:val="001C1C48"/>
    <w:rsid w:val="001D1FC8"/>
    <w:rsid w:val="001E178A"/>
    <w:rsid w:val="001E3ABE"/>
    <w:rsid w:val="001F64C8"/>
    <w:rsid w:val="001F6FFA"/>
    <w:rsid w:val="0020498D"/>
    <w:rsid w:val="002051FA"/>
    <w:rsid w:val="0021216B"/>
    <w:rsid w:val="0022354B"/>
    <w:rsid w:val="00223FB2"/>
    <w:rsid w:val="002320D4"/>
    <w:rsid w:val="0023259D"/>
    <w:rsid w:val="002341CE"/>
    <w:rsid w:val="00235110"/>
    <w:rsid w:val="0023598A"/>
    <w:rsid w:val="0023708D"/>
    <w:rsid w:val="00240D1F"/>
    <w:rsid w:val="00243CD1"/>
    <w:rsid w:val="00244563"/>
    <w:rsid w:val="00270A14"/>
    <w:rsid w:val="0028245F"/>
    <w:rsid w:val="002973B9"/>
    <w:rsid w:val="002A301A"/>
    <w:rsid w:val="002B21BB"/>
    <w:rsid w:val="002D4581"/>
    <w:rsid w:val="002E1C07"/>
    <w:rsid w:val="002E7A58"/>
    <w:rsid w:val="003127A3"/>
    <w:rsid w:val="00317219"/>
    <w:rsid w:val="0032171F"/>
    <w:rsid w:val="00324C95"/>
    <w:rsid w:val="00332FE1"/>
    <w:rsid w:val="00333A6E"/>
    <w:rsid w:val="00336283"/>
    <w:rsid w:val="003402FA"/>
    <w:rsid w:val="00343A80"/>
    <w:rsid w:val="00353456"/>
    <w:rsid w:val="003600EE"/>
    <w:rsid w:val="00365FD2"/>
    <w:rsid w:val="00370D23"/>
    <w:rsid w:val="00381C5B"/>
    <w:rsid w:val="0038280E"/>
    <w:rsid w:val="00384FF2"/>
    <w:rsid w:val="00393D79"/>
    <w:rsid w:val="003A67E4"/>
    <w:rsid w:val="003B02AC"/>
    <w:rsid w:val="003B210F"/>
    <w:rsid w:val="003B62B2"/>
    <w:rsid w:val="003B6ACD"/>
    <w:rsid w:val="003C1365"/>
    <w:rsid w:val="003C2064"/>
    <w:rsid w:val="003C3C21"/>
    <w:rsid w:val="003C506C"/>
    <w:rsid w:val="003C6A2C"/>
    <w:rsid w:val="003C70EF"/>
    <w:rsid w:val="003D342E"/>
    <w:rsid w:val="003D4678"/>
    <w:rsid w:val="003E467D"/>
    <w:rsid w:val="003F0650"/>
    <w:rsid w:val="003F290D"/>
    <w:rsid w:val="003F5380"/>
    <w:rsid w:val="004040A3"/>
    <w:rsid w:val="00407B1D"/>
    <w:rsid w:val="004100E1"/>
    <w:rsid w:val="00411354"/>
    <w:rsid w:val="00412CA4"/>
    <w:rsid w:val="004132B7"/>
    <w:rsid w:val="00425A3D"/>
    <w:rsid w:val="004370F7"/>
    <w:rsid w:val="00442999"/>
    <w:rsid w:val="00450D38"/>
    <w:rsid w:val="00470A9E"/>
    <w:rsid w:val="00472A66"/>
    <w:rsid w:val="00480F19"/>
    <w:rsid w:val="004818EF"/>
    <w:rsid w:val="004857BB"/>
    <w:rsid w:val="0048634C"/>
    <w:rsid w:val="004A0AD5"/>
    <w:rsid w:val="004B689F"/>
    <w:rsid w:val="004E4DA7"/>
    <w:rsid w:val="00501961"/>
    <w:rsid w:val="00514F4B"/>
    <w:rsid w:val="00522231"/>
    <w:rsid w:val="005320A7"/>
    <w:rsid w:val="005410BF"/>
    <w:rsid w:val="00541460"/>
    <w:rsid w:val="00550C4C"/>
    <w:rsid w:val="00551808"/>
    <w:rsid w:val="005617D7"/>
    <w:rsid w:val="005647FA"/>
    <w:rsid w:val="005653B8"/>
    <w:rsid w:val="005722F4"/>
    <w:rsid w:val="00574012"/>
    <w:rsid w:val="00584796"/>
    <w:rsid w:val="005922DF"/>
    <w:rsid w:val="00594D52"/>
    <w:rsid w:val="005A7B33"/>
    <w:rsid w:val="005B3F0E"/>
    <w:rsid w:val="005C4F9C"/>
    <w:rsid w:val="005C7748"/>
    <w:rsid w:val="005E1FEE"/>
    <w:rsid w:val="005E3DB7"/>
    <w:rsid w:val="006036CE"/>
    <w:rsid w:val="0060497C"/>
    <w:rsid w:val="00605CF0"/>
    <w:rsid w:val="00610357"/>
    <w:rsid w:val="006215C4"/>
    <w:rsid w:val="00635143"/>
    <w:rsid w:val="00640239"/>
    <w:rsid w:val="00652C1B"/>
    <w:rsid w:val="00654B7E"/>
    <w:rsid w:val="00657AF6"/>
    <w:rsid w:val="00671A7D"/>
    <w:rsid w:val="0067622D"/>
    <w:rsid w:val="006862E9"/>
    <w:rsid w:val="006A02E0"/>
    <w:rsid w:val="006A383F"/>
    <w:rsid w:val="006A58B1"/>
    <w:rsid w:val="006A59AD"/>
    <w:rsid w:val="006A5A7F"/>
    <w:rsid w:val="006B3956"/>
    <w:rsid w:val="006D0347"/>
    <w:rsid w:val="006D31D1"/>
    <w:rsid w:val="006D6E87"/>
    <w:rsid w:val="006D7FC1"/>
    <w:rsid w:val="006E1697"/>
    <w:rsid w:val="006E2395"/>
    <w:rsid w:val="006E4B17"/>
    <w:rsid w:val="00700282"/>
    <w:rsid w:val="00702BDE"/>
    <w:rsid w:val="00704401"/>
    <w:rsid w:val="00706652"/>
    <w:rsid w:val="00707A73"/>
    <w:rsid w:val="0071451E"/>
    <w:rsid w:val="00714B6C"/>
    <w:rsid w:val="00722160"/>
    <w:rsid w:val="00722E39"/>
    <w:rsid w:val="0074691B"/>
    <w:rsid w:val="007515E6"/>
    <w:rsid w:val="0075570E"/>
    <w:rsid w:val="0075653E"/>
    <w:rsid w:val="0076270B"/>
    <w:rsid w:val="00765CB7"/>
    <w:rsid w:val="00771748"/>
    <w:rsid w:val="007753E0"/>
    <w:rsid w:val="0078011E"/>
    <w:rsid w:val="007823F1"/>
    <w:rsid w:val="00783344"/>
    <w:rsid w:val="00790BE5"/>
    <w:rsid w:val="007952C9"/>
    <w:rsid w:val="007958FD"/>
    <w:rsid w:val="007A448C"/>
    <w:rsid w:val="007B1614"/>
    <w:rsid w:val="007C1077"/>
    <w:rsid w:val="007C1BE9"/>
    <w:rsid w:val="007C70CE"/>
    <w:rsid w:val="007D583C"/>
    <w:rsid w:val="007E2DDB"/>
    <w:rsid w:val="007E363A"/>
    <w:rsid w:val="007E5D0C"/>
    <w:rsid w:val="00802953"/>
    <w:rsid w:val="008125B8"/>
    <w:rsid w:val="0081337D"/>
    <w:rsid w:val="008141F6"/>
    <w:rsid w:val="0081470A"/>
    <w:rsid w:val="0081486F"/>
    <w:rsid w:val="0082262D"/>
    <w:rsid w:val="00823A52"/>
    <w:rsid w:val="00827FCB"/>
    <w:rsid w:val="00837D8A"/>
    <w:rsid w:val="00851AA4"/>
    <w:rsid w:val="00855DC4"/>
    <w:rsid w:val="00861091"/>
    <w:rsid w:val="008746C6"/>
    <w:rsid w:val="00881F02"/>
    <w:rsid w:val="00884448"/>
    <w:rsid w:val="00890106"/>
    <w:rsid w:val="00891B9B"/>
    <w:rsid w:val="0089499D"/>
    <w:rsid w:val="00895159"/>
    <w:rsid w:val="008A2DC4"/>
    <w:rsid w:val="008B15CD"/>
    <w:rsid w:val="008C6E5B"/>
    <w:rsid w:val="008D0F9F"/>
    <w:rsid w:val="008E084C"/>
    <w:rsid w:val="008E18CA"/>
    <w:rsid w:val="008E26BE"/>
    <w:rsid w:val="008E7FFD"/>
    <w:rsid w:val="008F07F1"/>
    <w:rsid w:val="008F413D"/>
    <w:rsid w:val="008F454D"/>
    <w:rsid w:val="008F4F48"/>
    <w:rsid w:val="00901BBF"/>
    <w:rsid w:val="0092252A"/>
    <w:rsid w:val="00927704"/>
    <w:rsid w:val="0094206B"/>
    <w:rsid w:val="009433D4"/>
    <w:rsid w:val="009435E9"/>
    <w:rsid w:val="00952B01"/>
    <w:rsid w:val="00960277"/>
    <w:rsid w:val="00965199"/>
    <w:rsid w:val="0097164D"/>
    <w:rsid w:val="00976C74"/>
    <w:rsid w:val="00980A5F"/>
    <w:rsid w:val="00994CB0"/>
    <w:rsid w:val="00996552"/>
    <w:rsid w:val="009A4F95"/>
    <w:rsid w:val="009D1AEB"/>
    <w:rsid w:val="009D3F9D"/>
    <w:rsid w:val="009E30AC"/>
    <w:rsid w:val="00A00289"/>
    <w:rsid w:val="00A023B8"/>
    <w:rsid w:val="00A0242C"/>
    <w:rsid w:val="00A04738"/>
    <w:rsid w:val="00A1551F"/>
    <w:rsid w:val="00A17D3B"/>
    <w:rsid w:val="00A40259"/>
    <w:rsid w:val="00A4230C"/>
    <w:rsid w:val="00A42B22"/>
    <w:rsid w:val="00A43C80"/>
    <w:rsid w:val="00A46F39"/>
    <w:rsid w:val="00A56965"/>
    <w:rsid w:val="00A6238D"/>
    <w:rsid w:val="00A667D6"/>
    <w:rsid w:val="00A745BF"/>
    <w:rsid w:val="00A959C2"/>
    <w:rsid w:val="00A97447"/>
    <w:rsid w:val="00AC3224"/>
    <w:rsid w:val="00AC69CC"/>
    <w:rsid w:val="00AD0565"/>
    <w:rsid w:val="00AD0F1B"/>
    <w:rsid w:val="00AD1276"/>
    <w:rsid w:val="00AF10A5"/>
    <w:rsid w:val="00B0127A"/>
    <w:rsid w:val="00B13ECA"/>
    <w:rsid w:val="00B22075"/>
    <w:rsid w:val="00B23111"/>
    <w:rsid w:val="00B25387"/>
    <w:rsid w:val="00B35F91"/>
    <w:rsid w:val="00B36B75"/>
    <w:rsid w:val="00B42782"/>
    <w:rsid w:val="00B44FBF"/>
    <w:rsid w:val="00B5492A"/>
    <w:rsid w:val="00B846CF"/>
    <w:rsid w:val="00B90F1B"/>
    <w:rsid w:val="00B9742A"/>
    <w:rsid w:val="00BB3637"/>
    <w:rsid w:val="00BD0BBF"/>
    <w:rsid w:val="00BE3A8E"/>
    <w:rsid w:val="00BE6033"/>
    <w:rsid w:val="00BE7499"/>
    <w:rsid w:val="00C03980"/>
    <w:rsid w:val="00C04785"/>
    <w:rsid w:val="00C06F8B"/>
    <w:rsid w:val="00C25C6B"/>
    <w:rsid w:val="00C26949"/>
    <w:rsid w:val="00C4084E"/>
    <w:rsid w:val="00C45F25"/>
    <w:rsid w:val="00C466BE"/>
    <w:rsid w:val="00C472C2"/>
    <w:rsid w:val="00C5088E"/>
    <w:rsid w:val="00C62A27"/>
    <w:rsid w:val="00C63390"/>
    <w:rsid w:val="00C665BA"/>
    <w:rsid w:val="00C6668A"/>
    <w:rsid w:val="00C66A2C"/>
    <w:rsid w:val="00C71BA9"/>
    <w:rsid w:val="00C73D23"/>
    <w:rsid w:val="00C76F66"/>
    <w:rsid w:val="00C776C4"/>
    <w:rsid w:val="00C834EA"/>
    <w:rsid w:val="00CA1CC1"/>
    <w:rsid w:val="00CC6520"/>
    <w:rsid w:val="00CD1BEB"/>
    <w:rsid w:val="00CD22DC"/>
    <w:rsid w:val="00CD2E09"/>
    <w:rsid w:val="00CF63BD"/>
    <w:rsid w:val="00D04530"/>
    <w:rsid w:val="00D06C40"/>
    <w:rsid w:val="00D125B7"/>
    <w:rsid w:val="00D13F64"/>
    <w:rsid w:val="00D1565B"/>
    <w:rsid w:val="00D345F8"/>
    <w:rsid w:val="00D35239"/>
    <w:rsid w:val="00D41437"/>
    <w:rsid w:val="00D473AC"/>
    <w:rsid w:val="00D564DA"/>
    <w:rsid w:val="00D60FD3"/>
    <w:rsid w:val="00D61819"/>
    <w:rsid w:val="00D6198C"/>
    <w:rsid w:val="00D63DD1"/>
    <w:rsid w:val="00D73A63"/>
    <w:rsid w:val="00D74C45"/>
    <w:rsid w:val="00D83067"/>
    <w:rsid w:val="00D8400D"/>
    <w:rsid w:val="00D93900"/>
    <w:rsid w:val="00DC3BA4"/>
    <w:rsid w:val="00DC5565"/>
    <w:rsid w:val="00DD18C2"/>
    <w:rsid w:val="00DE6B6A"/>
    <w:rsid w:val="00E0625A"/>
    <w:rsid w:val="00E21B48"/>
    <w:rsid w:val="00E3128D"/>
    <w:rsid w:val="00E46525"/>
    <w:rsid w:val="00E73418"/>
    <w:rsid w:val="00E83EA1"/>
    <w:rsid w:val="00EA0A1C"/>
    <w:rsid w:val="00EA24A2"/>
    <w:rsid w:val="00EB5CF1"/>
    <w:rsid w:val="00ED1194"/>
    <w:rsid w:val="00ED2AB8"/>
    <w:rsid w:val="00ED3379"/>
    <w:rsid w:val="00ED544C"/>
    <w:rsid w:val="00EE2813"/>
    <w:rsid w:val="00F0147B"/>
    <w:rsid w:val="00F03626"/>
    <w:rsid w:val="00F061DE"/>
    <w:rsid w:val="00F2030E"/>
    <w:rsid w:val="00F22690"/>
    <w:rsid w:val="00F241EF"/>
    <w:rsid w:val="00F26C94"/>
    <w:rsid w:val="00F31E8A"/>
    <w:rsid w:val="00F321AE"/>
    <w:rsid w:val="00F44352"/>
    <w:rsid w:val="00F44713"/>
    <w:rsid w:val="00F61385"/>
    <w:rsid w:val="00F80058"/>
    <w:rsid w:val="00F95D31"/>
    <w:rsid w:val="00FB3B4E"/>
    <w:rsid w:val="00FC082C"/>
    <w:rsid w:val="00FD2E7E"/>
    <w:rsid w:val="00FD5A93"/>
    <w:rsid w:val="00FF4DE2"/>
    <w:rsid w:val="00FF609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4C36-4C11-4AFA-9F6E-D39637D7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0D4F97"/>
    <w:rPr>
      <w:sz w:val="22"/>
      <w:szCs w:val="22"/>
    </w:rPr>
  </w:style>
  <w:style w:type="character" w:styleId="a4">
    <w:name w:val="Hyperlink"/>
    <w:basedOn w:val="a0"/>
    <w:uiPriority w:val="99"/>
    <w:rsid w:val="000D4F97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0D4F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09F"/>
  </w:style>
  <w:style w:type="paragraph" w:styleId="a9">
    <w:name w:val="footer"/>
    <w:basedOn w:val="a"/>
    <w:link w:val="aa"/>
    <w:uiPriority w:val="99"/>
    <w:unhideWhenUsed/>
    <w:rsid w:val="00FF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09F"/>
  </w:style>
  <w:style w:type="paragraph" w:styleId="ab">
    <w:name w:val="Body Text Indent"/>
    <w:basedOn w:val="a"/>
    <w:link w:val="ac"/>
    <w:rsid w:val="00A423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2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A423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9F8-4D73-417F-9D7D-3E10DA7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12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 ОИ</cp:lastModifiedBy>
  <cp:revision>30</cp:revision>
  <cp:lastPrinted>2022-03-18T06:20:00Z</cp:lastPrinted>
  <dcterms:created xsi:type="dcterms:W3CDTF">2022-02-04T14:23:00Z</dcterms:created>
  <dcterms:modified xsi:type="dcterms:W3CDTF">2022-03-18T06:20:00Z</dcterms:modified>
</cp:coreProperties>
</file>