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Вовлечение несовершеннолетнего в совершение преступлений уголовно наказуемо.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Первоочередной задачей каждого из нас является  защита детей от различных негативных явлений современной жизни.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Одним из проявлений такой защиты, в частности со стороны закона,  является установление в ст. 150 УК РФ уголовно-правового запрета на криминальное влияние взрослых лиц на совершеннолетних. Зависимость преступности взрослых от преступности несовершеннолетних давно известна, поскольку последняя является источником и резервом всей преступности.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Необходимость защиты несовершеннолетних от криминального влияния взрослых лиц объясняется тем, что моральные чувства у них еще не имеют характера устойчивых нравственных убеждений.</w:t>
      </w:r>
    </w:p>
    <w:p>
      <w:pPr>
        <w:spacing w:before="0" w:after="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Вовлечением в совершение преступления признаются действия взрослого лица, которые направлены на возбуждение желания несовершеннолетнего совершить активные противоправные действия. Такие действия могут быть совершены несовершеннолетним под воздействием обещаний, обмана, угроз или иным способом.Обещания могут выражаться в передаче несовершеннолетнему в будущем денег, подарков, имущества, как похищенного у потерпевшего, так и в виде платы за совершенные действия.</w:t>
      </w:r>
    </w:p>
    <w:p>
      <w:pPr>
        <w:spacing w:before="0" w:after="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Обман заключается в просьбе к подростку совершить те или иные действия, которые не кажутся ему преступными (просьба взять в доме потерпевшего какую-либо ценную вещь, убедив подростка в том, что эта вещь принадлежит знакомой взрослого лица, от которого исходит просьба). При этом несовершеннолетний не осознает, что он совершает преступление, поскольку он добросовестно заблуждается в предназначении вещи или, будучи убежденным взрослым лицом, полагает, что оказывает ему помощь (например, взрослый преступник просит несовершеннолетнего помочь ему освободиться от лица, задержавшего его, сообщив подростку, что указанное лицо хочет его убить. Подросток нападает на задержавшего и дает возможность убежать виновному). Обман также может выражаться в убеждении несовершеннолетнего взрослым в безнаказанности за содеянное (не достиг возраста привлечения к уголовной  ответственности, маленький  не заметят и т.д.).   </w:t>
        <w:br/>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Более серьезным видом вовлечения несовершеннолетнего в совершение преступления является его вовлечение путем угроз. Угрозы имеют различный характер и выражаются либо в угрозе применения физического насилия в случае отказа от совершения преступных действий, либо в психологической обработке. Подростку, например, могут угрожать распространением о нем позорящих сведений, причинением физического или материального вреда, убийством любимого животного и т.д.</w:t>
      </w:r>
    </w:p>
    <w:p>
      <w:pPr>
        <w:spacing w:before="0" w:after="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Иной способ вовлечения несовершеннолетнего в совершение преступления связан с разжиганием зависти, мести, низменных побуждений, подчеркиванием его умственной или физической неполноценности по отношению к лицу, на которое направлены преступные действия, и т.д. </w:t>
      </w:r>
    </w:p>
    <w:p>
      <w:pPr>
        <w:spacing w:before="0" w:after="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Само по себе вовлечение несовершеннолетнего в совершение преступления не означает совершения несовершеннолетним этого преступления. Вовлечение считается оконченным с того момента, как оно состоялось, т.е. когда подросток дал согласие на совершение преступления. С учетом этого вовлечение может быть совершено только с прямым умыслом.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Наиболее опасным является, совершение данного деяния  родителем, педагогическим работником либо иным лицом, на которое законом возложены обязанности по воспитанию несовершеннолетнего.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Субъектом данного преступления может быть лицо, достигшее 18 лет.</w:t>
        <w:br/>
        <w:t xml:space="preserve">Преступление считается оконченным с момента начала участия подростка в преступных действиях, в том числе и на стадии приготовления или покушения на преступление. </w:t>
        <w:br/>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Ответственность за   совершение подобного преступления от 5 до  8 лет, в зависимости от квалификации преступления, особо опасными считаются</w:t>
      </w:r>
      <w:r>
        <w:rPr>
          <w:rFonts w:ascii="Times New Roman" w:hAnsi="Times New Roman" w:cs="Times New Roman" w:eastAsia="Times New Roman"/>
          <w:color w:val="auto"/>
          <w:spacing w:val="0"/>
          <w:position w:val="0"/>
          <w:sz w:val="28"/>
          <w:shd w:fill="auto" w:val="clear"/>
        </w:rPr>
        <w:t xml:space="preserve">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Влияние взрослых лиц на несовершеннолетних имеет высокую общественную опасность не только в силу значительности вреда, причиненного нормальному развитию последних, но и потому, что в результате такого влияния возникает вероятность самостоятельного вступления несовершеннолетних, наиболее подверженных постороннему влиянию на преступный путь. Будущее зависит от нас,  и в большей степени от того,   с какими убеждениями наши дети войдут во взрослую жизнь.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