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6" w:rsidRDefault="009F75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F7556" w:rsidRDefault="009F7556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75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556" w:rsidRDefault="009F75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556" w:rsidRDefault="009F75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7556" w:rsidRDefault="009F7556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23.01.2023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556" w:rsidRDefault="009F7556">
            <w:pPr>
              <w:pStyle w:val="ConsPlusNormal"/>
            </w:pPr>
          </w:p>
        </w:tc>
      </w:tr>
    </w:tbl>
    <w:p w:rsidR="009F7556" w:rsidRDefault="009F7556">
      <w:pPr>
        <w:pStyle w:val="ConsPlusTitle"/>
        <w:spacing w:before="260"/>
        <w:jc w:val="center"/>
      </w:pPr>
      <w:r>
        <w:t>НУЛЕВОЙ ТРАВМАТИЗМ</w:t>
      </w:r>
    </w:p>
    <w:p w:rsidR="009F7556" w:rsidRDefault="009F7556">
      <w:pPr>
        <w:pStyle w:val="ConsPlusNormal"/>
        <w:ind w:firstLine="540"/>
        <w:jc w:val="both"/>
      </w:pPr>
    </w:p>
    <w:p w:rsidR="009F7556" w:rsidRDefault="009F7556">
      <w:pPr>
        <w:pStyle w:val="ConsPlusNormal"/>
        <w:ind w:firstLine="540"/>
        <w:jc w:val="both"/>
      </w:pPr>
      <w:r>
        <w:t>12.12.2017 в рамках Международной специализированной выставки "Безопасность и охрана труда - 2017" состоялось подписание Меморандума между Минтрудом России и Международной ассоциацией социального обеспечения о взаимопонимании и сотрудничестве по продвижению концепции нулевого травматизма. Согласно Меморандуму Минтруд стал официальным партнером глобальной кампании концепции нулевого травматизма, которая была запущена в Сингапуре 04.09.2017 на XXI Всемирном конгрессе по безопасности и гигиене труда (</w:t>
      </w:r>
      <w:hyperlink r:id="rId6">
        <w:r>
          <w:rPr>
            <w:color w:val="0000FF"/>
          </w:rPr>
          <w:t>Комментарий</w:t>
        </w:r>
      </w:hyperlink>
      <w:r>
        <w:t xml:space="preserve"> к Федеральному закону от 24 июля 1998 г. N 125-ФЗ "Об обязательном социальном страховании от несчастных случаев на производстве и профессиональных заболеваний" (Пешкова (Белогорцева) Х.В., Бондарева Э.С., Гимазова Э.Н., Куропацкая Е.Г., Лысенко Т.И., Менкенов А.В., Гусев А.Ю., Ротко С.В., Тимошенко Д.А., Тлитова И.А., Чернусь Н.Ю., Беляев М.А.)).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Разработанная Международной ассоциацией социального обеспечения (МАСО) концепция Vision Zero, или нулевой травматизм, - это качественно новый подход к организации профилактики, объединяющий три направления - безопасность, гигиену труда и благополучие работников на всех уровнях производства. Приоритетом концепции нулевого травматизма является повышение безопасности, гигиены труда, условий труда и общих условий работы в контексте их соответствующих миссий, стратегий, компетенций и ресурсов (информация с официального сайта Комитета по труду и занятости Санкт-Петербурга - ktzn.gov.spb.ru). Программы нулевого травматизма основаны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на производстве, проведении регулярных аудитов безопасности, непрерывного обучения и информирования персонала по вопросам охраны труда (</w:t>
      </w:r>
      <w:hyperlink r:id="rId7">
        <w:r>
          <w:rPr>
            <w:color w:val="0000FF"/>
          </w:rPr>
          <w:t>п. 2.1</w:t>
        </w:r>
      </w:hyperlink>
      <w:r>
        <w:t xml:space="preserve"> Типовой государственной программы субъекта Российской Федерации (подпрограммой государственной программы) по улучшению условий и охраны труда на 2015 - 2017 годы (направлена </w:t>
      </w:r>
      <w:hyperlink r:id="rId8">
        <w:r>
          <w:rPr>
            <w:color w:val="0000FF"/>
          </w:rPr>
          <w:t>Письмом</w:t>
        </w:r>
      </w:hyperlink>
      <w:r>
        <w:t xml:space="preserve"> Минтруда России от 14.08.2014 N 15-3/10/П-4574)).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 xml:space="preserve">В соответствии с требованиями </w:t>
      </w:r>
      <w:hyperlink r:id="rId9">
        <w:r>
          <w:rPr>
            <w:color w:val="0000FF"/>
          </w:rPr>
          <w:t>ст. 214</w:t>
        </w:r>
      </w:hyperlink>
      <w:r>
        <w:t xml:space="preserve"> ТК РФ обязанности по обеспечению безопасных условий и охраны труда возлагаются на работодателя.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Работодатель обязан обеспечить: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создание и функционирование системы управления охраной труда;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соответствие каждого рабочего места государственным нормативным требованиям охраны труда;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систематическое выявление опасностей и профессиональных рисков, их регулярный анализ и оценку;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реализацию мероприятий по улучшению условий и охраны труда;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 xml:space="preserve">- обучение по охране труда, в том числе обучение безопасным методам и приемам </w:t>
      </w:r>
      <w:r>
        <w:lastRenderedPageBreak/>
        <w:t>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 и др.</w:t>
      </w:r>
    </w:p>
    <w:p w:rsidR="009F7556" w:rsidRDefault="009F7556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Статья 210</w:t>
        </w:r>
      </w:hyperlink>
      <w:r>
        <w:t xml:space="preserve"> ТК РФ устанавливает, что обеспечение приоритета сохранения жизни и здоровья работников, государственное управление охраной труда, предупреждение производственного травматизма и профессиональных заболеваний являются основными направлениями государственной политики в области охраны труда.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РФ, органов государственной власти субъектов РФ и органов местного самоуправления, работодателей, объединений работодателей, профессиональных союзов, их объединений, иных уполномоченных работниками представительных органов по вопросам охраны труда.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Концепция Vision Zero, или нулевой травматизм, - качественно новый подход к организации профилактики. Концепция предлагает семь "золотых правил":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стать лидером - показать приверженность принципам;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выявлять угрозы - контролировать риски;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определять цели - разрабатывать программы;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создать систему безопасности и гигиены труда - достичь высокого уровня организации;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обеспечивать безопасность и гигиену на рабочих местах, при работе со станками и оборудованием;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повышать квалификацию - развивать профессиональные навыки;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- инвестировать в кадры - мотивировать посредством участия.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 xml:space="preserve">Предполагается, что реализация перечисленных правил будет содействовать работодателю в снижении показателей производственного травматизма и профессиональной заболеваемости. Следование каждому из правил предполагает серьезную организационную работу и применение специального инструментария, позволяющего достичь поставленных целей (Маслова Т. </w:t>
      </w:r>
      <w:hyperlink r:id="rId11">
        <w:r>
          <w:rPr>
            <w:color w:val="0000FF"/>
          </w:rPr>
          <w:t>Улучшение условий труда</w:t>
        </w:r>
      </w:hyperlink>
      <w:r>
        <w:t xml:space="preserve"> и сохранение здоровья работников: как будут стимулировать работодателей и мотивировать граждан? // Практический бухгалтерский учет. Официальные материалы и комментарии. 2019. N 6. С. 3 - 15).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 xml:space="preserve">Например, в </w:t>
      </w:r>
      <w:hyperlink r:id="rId12">
        <w:r>
          <w:rPr>
            <w:color w:val="0000FF"/>
          </w:rPr>
          <w:t>п. 5.2.2.10</w:t>
        </w:r>
      </w:hyperlink>
      <w:r>
        <w:t xml:space="preserve"> СТО РЖД 15.001-2020 "Система управления охраной труда в ОАО "РЖД". Общие положения", утв. Распоряжением ОАО "РЖД" от 17.12.2020 N 2796/р (далее - СТО РЖД 15.001-2020) эти правила изложены следующим образом. Реализацию концепции нулевого травматизма обеспечивают выполнением семи "золотых правил" производства с нулевым травматизмом и с безопасными условиями труда: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1) стать лидером в области охраны труда - показать приверженность принципам охраны труда;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2) выявлять угрозы по охране труда - контролировать профессиональные риски;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3) определять цели по охране труда - разрабатывать программы;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4) создать систему управления и охраны труда - достичь высокого уровня организации охраны труда;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5) обеспечивать охрану труда на рабочих местах, при работе со станками и оборудованием;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6) повышать квалификацию по охране труда - развивать профессиональные навыки по охране труда;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lastRenderedPageBreak/>
        <w:t>7) инвестировать в кадры по охране труда - мотивировать посредством участия работников в обеспечении охраны труда.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Для достижения целей концепции нулевого травматизма в ОАО "РЖД" формируют программы и планы. При выполнении концепции нулевого травматизма следует применять установленные в настоящем стандарте основные элементы, цели, задачи и функции системы управления охраной труда (СУОТ).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Реализация концепции "Семь "золотых правил" производства с нулевым травматизмом и с безопасными условиями труда" входит в перечень основных задач СУОТ, обеспечивающие реализацию политики ОАО "РЖД" по охране труда и целей СУОТ (</w:t>
      </w:r>
      <w:hyperlink r:id="rId13">
        <w:r>
          <w:rPr>
            <w:color w:val="0000FF"/>
          </w:rPr>
          <w:t>п. 5.2.2</w:t>
        </w:r>
      </w:hyperlink>
      <w:r>
        <w:t xml:space="preserve"> СТО РЖД 15.001-2020).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Разрабатывать ли и вводить в организации программу "Нулевой травматизм" - решает сама организация, такой обязанности законодательными актами РФ не предусмотрено.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 xml:space="preserve">Проведение мероприятий по продвижению основных принципов концепции нулевого травматизма у работодателей основных видов экономической деятельности в целях совершенствования принципов управления охраной труда предусмотрено комплексом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жизни, утв.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26.04.2019 N 833-р.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 xml:space="preserve">Примерный ведомственный </w:t>
      </w:r>
      <w:hyperlink r:id="rId15">
        <w:r>
          <w:rPr>
            <w:color w:val="0000FF"/>
          </w:rPr>
          <w:t>план</w:t>
        </w:r>
      </w:hyperlink>
      <w:r>
        <w:t xml:space="preserve"> мероприятий по снижению производственного травматизма утвержден Приказом Минтруда России от 12.02.2018 N 71, в </w:t>
      </w:r>
      <w:hyperlink r:id="rId16">
        <w:r>
          <w:rPr>
            <w:color w:val="0000FF"/>
          </w:rPr>
          <w:t>п. 24</w:t>
        </w:r>
      </w:hyperlink>
      <w:r>
        <w:t xml:space="preserve"> указанного Плана содержится требование проведения информационно-разъяснительной работы по присоединению организаций отрасли к информационной кампании МАСО "Нулевой травматизм" (Vision Zero). Сроки исполнения этого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деятельности. К исполнению также привлекаются отраслевые объединения профсоюзов, общероссийские отраслевые объединения работодателей.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 xml:space="preserve">Присоединение организаций к информационной кампании МАСО "Нулевой травматизм" (Vision Zero) может предусматриваться отраслевыми соглашениями (например, </w:t>
      </w:r>
      <w:hyperlink r:id="rId17">
        <w:r>
          <w:rPr>
            <w:color w:val="0000FF"/>
          </w:rPr>
          <w:t>п. 7.2.5</w:t>
        </w:r>
      </w:hyperlink>
      <w:r>
        <w:t xml:space="preserve"> Отраслевого соглашения по учреждениям, органам уголовно-исполнительной системы Российской Федерации и предприятиям Федеральной службы исполнения наказаний на 2023 - 2025 годы (утв. Общероссийским профессиональным союзом работников государственных учреждений и общественного обслуживания РФ, ФСИН России N 95/01-2022 26.12.2022)). В ряде субъектов РФ утверждены программы нулевого травматизма, которые могут быть приняты за основу организацией (например, Методические рекомендации по разработке и внедрению в организациях Республики Калмыкия программы "Нулевой травматизм", утв. Приказом Министерства социального развития, труда и занятости Республики Калмыкия от 07.06.2017 N 257-пр; Методические рекомендации Департамента труда и социального развития Приморского края от 28.03.2018 по разработке и внедрению в организациях Приморского края программ нулевого травматизма; Типовая программа нулевого травматизма, утв. решением Тамбовской областной трехсторонней комиссии по регулированию социально-трудовых отношений от 21.12.2017 N 14).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t>В муниципальных округах аналогичные программы вводятся постановлением местной администрации. Например, с целью внедрения международного опыта с 2019 года на территории городского округа Люберцы внедряется система добровольного внутреннего контроля (самоконтроля) соблюдения работодателями требований трудового законодательства в сфере охраны труда Vision Zero "Нулевой травматизм", позволяющая создать условия для развития мотивации работодателей к соблюдению требований трудового законодательства, к улучшению условий труда работников, внедрить риск-ориентированные подходы к организации охраны труда в организациях (</w:t>
      </w:r>
      <w:hyperlink r:id="rId18">
        <w:r>
          <w:rPr>
            <w:color w:val="0000FF"/>
          </w:rPr>
          <w:t>Приложение 10</w:t>
        </w:r>
      </w:hyperlink>
      <w:r>
        <w:t xml:space="preserve"> к Муниципальной программе "Социальная защита населения", утв. Постановлением администрации муниципального образования городской округ Люберцы МО от 26.09.2019 N 3610-ПА). На территории городского округа Мытищи внедряется система добровольного внутреннего контроля (самоконтроля) соблюдения работодателями требований трудового законодательства в сфере охраны труда Vision Zero "Нулевой травматизм", позволяющая создать условия для развития мотивации работодателей к соблюдению требований трудового законодательства, к улучшению условий труда работников, внедрить риск-ориентированные подходы к организации охраны труда в организациях (</w:t>
      </w:r>
      <w:hyperlink r:id="rId19">
        <w:r>
          <w:rPr>
            <w:color w:val="0000FF"/>
          </w:rPr>
          <w:t>п. 11</w:t>
        </w:r>
      </w:hyperlink>
      <w:r>
        <w:t xml:space="preserve"> Муниципальной программы "Социальная защита населения", утв. Постановлением администрации городского округа Мытищи МО от 11.11.2019 N 4929). Программа может быть разработана на уровне организации путем принятия локального нормативного акта работодателем (</w:t>
      </w:r>
      <w:hyperlink r:id="rId20">
        <w:r>
          <w:rPr>
            <w:color w:val="0000FF"/>
          </w:rPr>
          <w:t>ст. 8</w:t>
        </w:r>
      </w:hyperlink>
      <w:r>
        <w:t xml:space="preserve"> ТК РФ).</w:t>
      </w:r>
    </w:p>
    <w:p w:rsidR="009F7556" w:rsidRDefault="009F7556">
      <w:pPr>
        <w:pStyle w:val="ConsPlusNormal"/>
        <w:spacing w:before="200"/>
        <w:ind w:firstLine="540"/>
        <w:jc w:val="both"/>
      </w:pPr>
      <w:r>
        <w:lastRenderedPageBreak/>
        <w:t>Таким образом, каждая организация самостоятельно решает вопрос о необходимости разработки программы "Нулевой травматизм", обязанности присоединения к программе закон не устанавливает. При разработке соответствующей программы в организации за основу может быть принята программа "Нулевой травматизм", действующая в субъекте РФ, при ее отсутствии - рекомендации Минтруда РФ.</w:t>
      </w:r>
    </w:p>
    <w:p w:rsidR="009F7556" w:rsidRDefault="009F7556">
      <w:pPr>
        <w:pStyle w:val="ConsPlusNormal"/>
        <w:ind w:firstLine="540"/>
        <w:jc w:val="both"/>
      </w:pPr>
    </w:p>
    <w:p w:rsidR="009F7556" w:rsidRDefault="009F7556">
      <w:pPr>
        <w:pStyle w:val="ConsPlusNormal"/>
        <w:jc w:val="right"/>
      </w:pPr>
      <w:r>
        <w:t>Подготовлено на основе материала</w:t>
      </w:r>
    </w:p>
    <w:p w:rsidR="009F7556" w:rsidRDefault="009F7556">
      <w:pPr>
        <w:pStyle w:val="ConsPlusNormal"/>
        <w:jc w:val="right"/>
      </w:pPr>
      <w:r>
        <w:t>А.Ю. Гусева,</w:t>
      </w:r>
    </w:p>
    <w:p w:rsidR="009F7556" w:rsidRDefault="009F7556">
      <w:pPr>
        <w:pStyle w:val="ConsPlusNormal"/>
        <w:jc w:val="right"/>
      </w:pPr>
      <w:r>
        <w:t>НИУ "Высшая школа экономики"</w:t>
      </w:r>
    </w:p>
    <w:p w:rsidR="009F7556" w:rsidRDefault="009F7556">
      <w:pPr>
        <w:pStyle w:val="ConsPlusNormal"/>
        <w:ind w:firstLine="540"/>
        <w:jc w:val="both"/>
      </w:pPr>
    </w:p>
    <w:p w:rsidR="009F7556" w:rsidRDefault="009F7556">
      <w:pPr>
        <w:pStyle w:val="ConsPlusNormal"/>
        <w:ind w:firstLine="540"/>
        <w:jc w:val="both"/>
      </w:pPr>
    </w:p>
    <w:p w:rsidR="009F7556" w:rsidRDefault="009F75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069" w:rsidRDefault="005A1069">
      <w:bookmarkStart w:id="0" w:name="_GoBack"/>
      <w:bookmarkEnd w:id="0"/>
    </w:p>
    <w:sectPr w:rsidR="005A1069" w:rsidSect="000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6"/>
    <w:rsid w:val="005A1069"/>
    <w:rsid w:val="009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75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75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75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75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5C7FC653EC1A023A92763460EEAE5FDF9D8614899AD81C2AF1A254E86BFB869C0C80C43E979DB04093DC788j1c7L" TargetMode="External"/><Relationship Id="rId13" Type="http://schemas.openxmlformats.org/officeDocument/2006/relationships/hyperlink" Target="consultantplus://offline/ref=8225C7FC653EC1A023A92763460EEAE5FFF7D16A4492AD81C2AF1A254E86BFB87BC0900041ED66DF071C6B96CE41C909C972B5120AE49C00jCcDL" TargetMode="External"/><Relationship Id="rId18" Type="http://schemas.openxmlformats.org/officeDocument/2006/relationships/hyperlink" Target="consultantplus://offline/ref=8225C7FC653EC1A023A9266D530EEAE5FFFBD26C4694AD81C2AF1A254E86BFB87BC0900044EA65DB071C6B96CE41C909C972B5120AE49C00jCcD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25C7FC653EC1A023A92763460EEAE5FDF9D8614899AD81C2AF1A254E86BFB87BC0900041ED65DB001C6B96CE41C909C972B5120AE49C00jCcDL" TargetMode="External"/><Relationship Id="rId12" Type="http://schemas.openxmlformats.org/officeDocument/2006/relationships/hyperlink" Target="consultantplus://offline/ref=8225C7FC653EC1A023A92763460EEAE5FFF7D16A4492AD81C2AF1A254E86BFB87BC0900041ED65D9041C6B96CE41C909C972B5120AE49C00jCcDL" TargetMode="External"/><Relationship Id="rId17" Type="http://schemas.openxmlformats.org/officeDocument/2006/relationships/hyperlink" Target="consultantplus://offline/ref=8225C7FC653EC1A023A92763460EEAE5F8FCD76E4193AD81C2AF1A254E86BFB87BC0900041ED65DF011C6B96CE41C909C972B5120AE49C00jCc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25C7FC653EC1A023A92763460EEAE5FEF6D2604292AD81C2AF1A254E86BFB87BC0900041ED66DA031C6B96CE41C909C972B5120AE49C00jCcDL" TargetMode="External"/><Relationship Id="rId20" Type="http://schemas.openxmlformats.org/officeDocument/2006/relationships/hyperlink" Target="consultantplus://offline/ref=8225C7FC653EC1A023A92763460EEAE5F8FDD26D4398AD81C2AF1A254E86BFB87BC0900043E46C8F54536ACA8810DA0BCC72B71316jEc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5C7FC653EC1A023A9286F530EEAE5FDF7D76C469AF08BCAF616274989E0BD7CD1900345F367DA1B153FC5j8c9L" TargetMode="External"/><Relationship Id="rId11" Type="http://schemas.openxmlformats.org/officeDocument/2006/relationships/hyperlink" Target="consultantplus://offline/ref=8225C7FC653EC1A023A93B60580EEAE5FEFAD26B4097AD81C2AF1A254E86BFB87BC0900041ED67D3031C6B96CE41C909C972B5120AE49C00jCc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25C7FC653EC1A023A92763460EEAE5FEF6D2604292AD81C2AF1A254E86BFB87BC0900041ED67DA011C6B96CE41C909C972B5120AE49C00jCcDL" TargetMode="External"/><Relationship Id="rId10" Type="http://schemas.openxmlformats.org/officeDocument/2006/relationships/hyperlink" Target="consultantplus://offline/ref=8225C7FC653EC1A023A92763460EEAE5F8FDD26D4398AD81C2AF1A254E86BFB87BC0900041EC65DE0C1C6B96CE41C909C972B5120AE49C00jCcDL" TargetMode="External"/><Relationship Id="rId19" Type="http://schemas.openxmlformats.org/officeDocument/2006/relationships/hyperlink" Target="consultantplus://offline/ref=8225C7FC653EC1A023A9266D530EEAE5FFFCD9684698AD81C2AF1A254E86BFB87BC0900040E565DA001C6B96CE41C909C972B5120AE49C00jC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5C7FC653EC1A023A92763460EEAE5F8FDD26D4398AD81C2AF1A254E86BFB87BC0900041EC65D3011C6B96CE41C909C972B5120AE49C00jCcDL" TargetMode="External"/><Relationship Id="rId14" Type="http://schemas.openxmlformats.org/officeDocument/2006/relationships/hyperlink" Target="consultantplus://offline/ref=8225C7FC653EC1A023A92763460EEAE5FFFDD36C4096AD81C2AF1A254E86BFB869C0C80C43E979DB04093DC788j1c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Кикина Ольга Васильевна</dc:creator>
  <cp:lastModifiedBy>Кикина Ольга Васильевна</cp:lastModifiedBy>
  <cp:revision>2</cp:revision>
  <dcterms:created xsi:type="dcterms:W3CDTF">2023-01-24T11:28:00Z</dcterms:created>
  <dcterms:modified xsi:type="dcterms:W3CDTF">2023-01-24T11:28:00Z</dcterms:modified>
</cp:coreProperties>
</file>