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63" w:rsidRPr="009E4163" w:rsidRDefault="009E4163" w:rsidP="009E416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E4163">
        <w:rPr>
          <w:rFonts w:ascii="Arial" w:eastAsia="Times New Roman" w:hAnsi="Arial" w:cs="Arial"/>
          <w:b/>
          <w:bCs/>
          <w:color w:val="000000"/>
          <w:sz w:val="21"/>
        </w:rPr>
        <w:t>Центральный банк Российской Федерации (Банк России)</w:t>
      </w:r>
      <w:r w:rsidRPr="009E4163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9E4163">
        <w:rPr>
          <w:rFonts w:ascii="Arial" w:eastAsia="Times New Roman" w:hAnsi="Arial" w:cs="Arial"/>
          <w:b/>
          <w:bCs/>
          <w:color w:val="000000"/>
          <w:sz w:val="21"/>
        </w:rPr>
        <w:t>Пресс-служба</w:t>
      </w:r>
    </w:p>
    <w:p w:rsidR="009E4163" w:rsidRPr="009E4163" w:rsidRDefault="009E4163" w:rsidP="009E416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E4163">
        <w:rPr>
          <w:rFonts w:ascii="Arial" w:eastAsia="Times New Roman" w:hAnsi="Arial" w:cs="Arial"/>
          <w:color w:val="000000"/>
          <w:sz w:val="21"/>
          <w:szCs w:val="21"/>
        </w:rPr>
        <w:t xml:space="preserve">107016, Москва, ул. </w:t>
      </w:r>
      <w:proofErr w:type="spellStart"/>
      <w:r w:rsidRPr="009E4163">
        <w:rPr>
          <w:rFonts w:ascii="Arial" w:eastAsia="Times New Roman" w:hAnsi="Arial" w:cs="Arial"/>
          <w:color w:val="000000"/>
          <w:sz w:val="21"/>
          <w:szCs w:val="21"/>
        </w:rPr>
        <w:t>Неглинная</w:t>
      </w:r>
      <w:proofErr w:type="spellEnd"/>
      <w:r w:rsidRPr="009E4163">
        <w:rPr>
          <w:rFonts w:ascii="Arial" w:eastAsia="Times New Roman" w:hAnsi="Arial" w:cs="Arial"/>
          <w:color w:val="000000"/>
          <w:sz w:val="21"/>
          <w:szCs w:val="21"/>
        </w:rPr>
        <w:t>, 12</w:t>
      </w:r>
      <w:r w:rsidRPr="009E4163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4" w:history="1">
        <w:r w:rsidRPr="009E4163">
          <w:rPr>
            <w:rFonts w:ascii="Arial" w:eastAsia="Times New Roman" w:hAnsi="Arial" w:cs="Arial"/>
            <w:color w:val="990099"/>
            <w:sz w:val="21"/>
            <w:u w:val="single"/>
          </w:rPr>
          <w:t>www.cbr.ru</w:t>
        </w:r>
      </w:hyperlink>
    </w:p>
    <w:p w:rsidR="009E4163" w:rsidRPr="009E4163" w:rsidRDefault="009E4163" w:rsidP="009E416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E4163">
        <w:rPr>
          <w:rFonts w:ascii="Arial" w:eastAsia="Times New Roman" w:hAnsi="Arial" w:cs="Arial"/>
          <w:b/>
          <w:bCs/>
          <w:color w:val="000000"/>
          <w:sz w:val="21"/>
        </w:rPr>
        <w:t>Информация</w:t>
      </w:r>
    </w:p>
    <w:p w:rsidR="009E4163" w:rsidRPr="009E4163" w:rsidRDefault="009E4163" w:rsidP="009E4163">
      <w:pPr>
        <w:shd w:val="clear" w:color="auto" w:fill="FFFFFF"/>
        <w:spacing w:after="180" w:line="240" w:lineRule="auto"/>
        <w:ind w:left="-15"/>
        <w:jc w:val="center"/>
        <w:outlineLvl w:val="2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9E4163">
        <w:rPr>
          <w:rFonts w:ascii="Georgia" w:eastAsia="Times New Roman" w:hAnsi="Georgia" w:cs="Times New Roman"/>
          <w:color w:val="000000"/>
          <w:sz w:val="31"/>
          <w:szCs w:val="31"/>
        </w:rPr>
        <w:t xml:space="preserve">Банк России принял решение снизить ключевую ставку до 9,75% </w:t>
      </w:r>
      <w:proofErr w:type="gramStart"/>
      <w:r w:rsidRPr="009E4163">
        <w:rPr>
          <w:rFonts w:ascii="Georgia" w:eastAsia="Times New Roman" w:hAnsi="Georgia" w:cs="Times New Roman"/>
          <w:color w:val="000000"/>
          <w:sz w:val="31"/>
          <w:szCs w:val="31"/>
        </w:rPr>
        <w:t>годовых</w:t>
      </w:r>
      <w:proofErr w:type="gramEnd"/>
    </w:p>
    <w:p w:rsidR="009E4163" w:rsidRPr="009E4163" w:rsidRDefault="009E4163" w:rsidP="009E4163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9E4163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>Совет директоров Банка России 24 марта 2017 года принял решение снизить</w:t>
      </w:r>
      <w:r w:rsidRPr="009E4163">
        <w:rPr>
          <w:rFonts w:ascii="Arial" w:eastAsia="Times New Roman" w:hAnsi="Arial" w:cs="Arial"/>
          <w:i/>
          <w:iCs/>
          <w:color w:val="000000"/>
          <w:sz w:val="21"/>
        </w:rPr>
        <w:t> </w:t>
      </w:r>
      <w:hyperlink r:id="rId5" w:tgtFrame="_blank" w:history="1">
        <w:r w:rsidRPr="009E4163">
          <w:rPr>
            <w:rFonts w:ascii="Arial" w:eastAsia="Times New Roman" w:hAnsi="Arial" w:cs="Arial"/>
            <w:i/>
            <w:iCs/>
            <w:color w:val="990099"/>
            <w:sz w:val="21"/>
            <w:u w:val="single"/>
          </w:rPr>
          <w:t>ключевую ставку</w:t>
        </w:r>
      </w:hyperlink>
      <w:r w:rsidRPr="009E4163">
        <w:rPr>
          <w:rFonts w:ascii="Arial" w:eastAsia="Times New Roman" w:hAnsi="Arial" w:cs="Arial"/>
          <w:i/>
          <w:iCs/>
          <w:color w:val="000000"/>
          <w:sz w:val="21"/>
        </w:rPr>
        <w:t> </w:t>
      </w:r>
      <w:r w:rsidRPr="009E4163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>до 9,75% годовых. Совет директоров отмечает, что инфляция замедляется быстрее, чем прогнозировалось, продолжается снижение инфляционных ожиданий и восстановление экономической активности. Инфляционные риски несколько снизились, но сохраняются на повышенном уровне. В этих условиях при сохранении умеренно жесткой денежно-кредитной политики целевой уровень инфляции в 4% будет достигнут до конца 2017 года и будет поддерживаться в дальнейшем.</w:t>
      </w:r>
    </w:p>
    <w:p w:rsidR="009E4163" w:rsidRPr="009E4163" w:rsidRDefault="009E4163" w:rsidP="009E4163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9E4163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>Банк России будет оценивать дальнейшую динамику инфляции и экономики относительно прогноза и допускает возможность постепенного снижения ключевой ставки во II</w:t>
      </w:r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–</w:t>
      </w:r>
      <w:r w:rsidRPr="009E4163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>III</w:t>
      </w:r>
      <w:r w:rsidRPr="009E4163">
        <w:rPr>
          <w:rFonts w:ascii="Arial" w:eastAsia="Times New Roman" w:hAnsi="Arial" w:cs="Arial"/>
          <w:i/>
          <w:iCs/>
          <w:color w:val="000000"/>
          <w:sz w:val="21"/>
        </w:rPr>
        <w:t> </w:t>
      </w:r>
      <w:r w:rsidRPr="009E4163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>кварталах текущего года.</w:t>
      </w:r>
    </w:p>
    <w:p w:rsidR="009E4163" w:rsidRPr="009E4163" w:rsidRDefault="009E4163" w:rsidP="009E4163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Принимая решение по ключевой ставке, Совет директоров Банка России исходил из следующего.</w:t>
      </w:r>
    </w:p>
    <w:p w:rsidR="009E4163" w:rsidRPr="009E4163" w:rsidRDefault="009E4163" w:rsidP="009E4163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9E416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Динамика инфляции.</w:t>
      </w:r>
      <w:r w:rsidRPr="009E4163">
        <w:rPr>
          <w:rFonts w:ascii="Arial" w:eastAsia="Times New Roman" w:hAnsi="Arial" w:cs="Arial"/>
          <w:color w:val="000000"/>
          <w:sz w:val="21"/>
        </w:rPr>
        <w:t> </w:t>
      </w:r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Инфляция снижается быстрее, чем прогнозировалось. По оценке за первые двадцать дней марта, годовые темпы прироста потребительских цен сократились до 4,3% с 5,0% в январе 2017 года. В феврале продолжилось замедление роста цен по всем основным группам товаров и услуг, а также снижение показателей месячной инфляции с исключением сезонности. Существенный вклад в замедление инфляции внесло укрепление рубля на фоне более высоких, чем ожидалось, цен на нефть, сохранение интереса внешних инвесторов к вложениям в российские активы, а также снижение </w:t>
      </w:r>
      <w:proofErr w:type="spellStart"/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страновой</w:t>
      </w:r>
      <w:proofErr w:type="spellEnd"/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премии за риск. В результате высокого урожая в 2015–2016</w:t>
      </w:r>
      <w:r w:rsidRPr="009E4163">
        <w:rPr>
          <w:rFonts w:ascii="Arial" w:eastAsia="Times New Roman" w:hAnsi="Arial" w:cs="Arial"/>
          <w:color w:val="000000"/>
          <w:sz w:val="21"/>
        </w:rPr>
        <w:t> </w:t>
      </w:r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годах выросли запасы сельскохозяйственной продукции, что привело к значительному замедлению продовольственной инфляции и снижению цен на плодоовощную продукцию.</w:t>
      </w:r>
    </w:p>
    <w:p w:rsidR="009E4163" w:rsidRPr="009E4163" w:rsidRDefault="009E4163" w:rsidP="009E4163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proofErr w:type="spellStart"/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Дезинфляционное</w:t>
      </w:r>
      <w:proofErr w:type="spellEnd"/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влияние внутреннего спроса сохраняется. Домашние хозяйства в основном продолжают придерживаться сберегательной модели поведения. При этом наметились признаки оживления потребительской активности, а заработные платы растут как в номинальном, так и реальном выражении. Динамика потребительского кредитования не несет инфляционных рисков. Заметное замедление инфляции будет способствовать дальнейшему снижению инфляционных ожиданий населения и бизнеса. По прогнозу Банка России, с учетом принятого решения и сохранения умеренно жесткой денежно-кредитной политики годовой темп прироста потребительских цен снизится до 4% до конца 2017 года и будет поддерживаться вблизи указанного целевого уровня в 2018–2019 годах.</w:t>
      </w:r>
    </w:p>
    <w:p w:rsidR="009E4163" w:rsidRPr="009E4163" w:rsidRDefault="009E4163" w:rsidP="009E4163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9E416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Денежно-кредитные условия</w:t>
      </w:r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 Для поддержания склонности к сбережениям и тенденции к устойчивому замедлению инфляции под влиянием ограничений со стороны спроса необходимо сохранение умеренно жестких денежно-кредитных условий. Положительные реальные процентные ставки будут поддерживаться на уровне, который обеспечит спрос на кредит, не приводящий к повышению инфляционного давления, а также сохранит стимулы к сбережениям. Постепенное снижение номинальных процентных ставок и смягчение неценовых условий банковского кредитования продолжится. В первую очередь это коснется надежных заемщиков, учитывая сохранение консервативной политики банков. Операции Минфина по покупке иностранной валюты на валютном рынке не оказали заметного влияния на динамику курса рубля в связи с преобладанием факторов в пользу его укрепления. Краткосрочные инфляционные риски, связанные с началом проведения указанных операций, не реализовались.</w:t>
      </w:r>
    </w:p>
    <w:p w:rsidR="009E4163" w:rsidRPr="009E4163" w:rsidRDefault="009E4163" w:rsidP="009E4163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9E416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lastRenderedPageBreak/>
        <w:t>Экономическая активность.</w:t>
      </w:r>
      <w:r w:rsidRPr="009E4163">
        <w:rPr>
          <w:rFonts w:ascii="Arial" w:eastAsia="Times New Roman" w:hAnsi="Arial" w:cs="Arial"/>
          <w:color w:val="000000"/>
          <w:sz w:val="21"/>
        </w:rPr>
        <w:t> </w:t>
      </w:r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Восстановление экономической активности происходит быстрее, чем ожидалось. По оценкам, ВВП увеличивается в поквартальном выражении со II квартала 2016 года и в дальнейшем положительная динамика сохранится. В январе-феврале 2017 года продолжился годовой рост промышленного производства (с исключением календарного фактора), постепенно восстанавливается инвестиционная активность. В I квартале ожидается прирост инвестиций в основной капитал. Безработица остается на стабильном невысоком уровне. Рынок труда подстраивается к новым экономическим условиям при появлении признаков дефицита кадров в отдельных сегментах. Восстановительные процессы становятся более однородными по регионам. Данные опросов отражают улучшение настроений бизнеса и домашних хозяйств, что поддержит улучшение экономической динамики. По оценкам Банка России, наблюдающийся годовой рост реальной заработной платы способствует постепенному повышению потребительской активности. Это не создаст дополнительного </w:t>
      </w:r>
      <w:proofErr w:type="spellStart"/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проинфляционного</w:t>
      </w:r>
      <w:proofErr w:type="spellEnd"/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давления в условиях увеличения предложения товаров и услуг.</w:t>
      </w:r>
    </w:p>
    <w:p w:rsidR="009E4163" w:rsidRPr="009E4163" w:rsidRDefault="009E4163" w:rsidP="009E4163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Банк России учитывает неопределенность на рынке нефти и продолжает придерживаться консервативного подхода к прогнозу, закладывая в него снижение цен на нефть до $40 за баррель к концу 2017 года и сохранение вблизи этого уровня в дальнейшем. Ожидается рост ВВП на 1–1,5%</w:t>
      </w:r>
      <w:r w:rsidRPr="009E4163">
        <w:rPr>
          <w:rFonts w:ascii="Arial" w:eastAsia="Times New Roman" w:hAnsi="Arial" w:cs="Arial"/>
          <w:color w:val="000000"/>
          <w:sz w:val="21"/>
        </w:rPr>
        <w:t> </w:t>
      </w:r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по итогам 2017 года и на 1–2%</w:t>
      </w:r>
      <w:r w:rsidRPr="009E4163">
        <w:rPr>
          <w:rFonts w:ascii="Arial" w:eastAsia="Times New Roman" w:hAnsi="Arial" w:cs="Arial"/>
          <w:color w:val="000000"/>
          <w:sz w:val="21"/>
        </w:rPr>
        <w:t> </w:t>
      </w:r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 2018–2019</w:t>
      </w:r>
      <w:r w:rsidRPr="009E4163">
        <w:rPr>
          <w:rFonts w:ascii="Arial" w:eastAsia="Times New Roman" w:hAnsi="Arial" w:cs="Arial"/>
          <w:color w:val="000000"/>
          <w:sz w:val="21"/>
        </w:rPr>
        <w:t> </w:t>
      </w:r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годах с учетом текущей динамики восстановительных процессов и повышения устойчивости экономики к колебаниям внешнеэкономической конъюнктуры. Для развития и закрепления позитивных тенденций необходимы структурные преобразования и время.</w:t>
      </w:r>
    </w:p>
    <w:p w:rsidR="009E4163" w:rsidRPr="009E4163" w:rsidRDefault="009E4163" w:rsidP="009E4163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9E416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Инфляционные риски.</w:t>
      </w:r>
      <w:r w:rsidRPr="009E4163">
        <w:rPr>
          <w:rFonts w:ascii="Arial" w:eastAsia="Times New Roman" w:hAnsi="Arial" w:cs="Arial"/>
          <w:color w:val="000000"/>
          <w:sz w:val="21"/>
        </w:rPr>
        <w:t> </w:t>
      </w:r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Риски того, что инфляция не достигнет целевого уровня 4% к концу 2017 года, несколько снизились. Однако сохраняются риски для закрепления инфляции на целевом уровне в среднесрочной перспективе. Эти риски связаны с инерцией инфляционных ожиданий, а также возможным быстрым уменьшением склонности к сбережению домашних хозяйств. Негативное влияние на курсовые и инфляционные ожидания может оказывать </w:t>
      </w:r>
      <w:proofErr w:type="spellStart"/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волатильность</w:t>
      </w:r>
      <w:proofErr w:type="spellEnd"/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мировых товарных и финансовых рынков. Указанные риски могут реализоваться и на среднесрочном горизонте. Проведение умеренно жесткой денежно-кредитной политики позволит ограничить их влияние и закрепить темпы роста потребительских цен вблизи 4% .</w:t>
      </w:r>
    </w:p>
    <w:p w:rsidR="009E4163" w:rsidRPr="009E4163" w:rsidRDefault="009E4163" w:rsidP="009E4163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Банк России будет оценивать дальнейшую динамику инфляции и экономики относительно прогноза и допускает возможность постепенного снижения ключевой ставки во II–III</w:t>
      </w:r>
      <w:r w:rsidRPr="009E4163">
        <w:rPr>
          <w:rFonts w:ascii="Arial" w:eastAsia="Times New Roman" w:hAnsi="Arial" w:cs="Arial"/>
          <w:color w:val="000000"/>
          <w:sz w:val="21"/>
        </w:rPr>
        <w:t> </w:t>
      </w:r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кварталах текущего года.</w:t>
      </w:r>
    </w:p>
    <w:p w:rsidR="009E4163" w:rsidRPr="009E4163" w:rsidRDefault="009E4163" w:rsidP="009E4163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Следующее заседание Совета директоров Банка России, на котором будет рассматриваться вопрос об уровне ключевой ставки, запланировано на </w:t>
      </w:r>
      <w:hyperlink r:id="rId6" w:tgtFrame="_blank" w:history="1">
        <w:r w:rsidRPr="009E4163">
          <w:rPr>
            <w:rFonts w:ascii="Arial" w:eastAsia="Times New Roman" w:hAnsi="Arial" w:cs="Arial"/>
            <w:color w:val="990099"/>
            <w:sz w:val="21"/>
            <w:u w:val="single"/>
          </w:rPr>
          <w:t>28 апреля 2017 года</w:t>
        </w:r>
      </w:hyperlink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 Время публикации пресс-релиза о решении Совета директоров Банка России –</w:t>
      </w:r>
      <w:r w:rsidRPr="009E4163">
        <w:rPr>
          <w:rFonts w:ascii="Arial" w:eastAsia="Times New Roman" w:hAnsi="Arial" w:cs="Arial"/>
          <w:color w:val="000000"/>
          <w:sz w:val="21"/>
        </w:rPr>
        <w:t> </w:t>
      </w:r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13:30 по московскому времени.</w:t>
      </w:r>
    </w:p>
    <w:p w:rsidR="009E4163" w:rsidRPr="009E4163" w:rsidRDefault="009E4163" w:rsidP="009E4163">
      <w:pPr>
        <w:spacing w:before="360" w:after="180" w:line="240" w:lineRule="auto"/>
        <w:ind w:left="-15"/>
        <w:outlineLvl w:val="2"/>
        <w:rPr>
          <w:rFonts w:ascii="Georgia" w:eastAsia="Times New Roman" w:hAnsi="Georgia" w:cs="Arial"/>
          <w:color w:val="000000"/>
          <w:sz w:val="31"/>
          <w:szCs w:val="31"/>
          <w:shd w:val="clear" w:color="auto" w:fill="FFFFFF"/>
        </w:rPr>
      </w:pPr>
      <w:r w:rsidRPr="009E4163">
        <w:rPr>
          <w:rFonts w:ascii="Georgia" w:eastAsia="Times New Roman" w:hAnsi="Georgia" w:cs="Arial"/>
          <w:color w:val="000000"/>
          <w:sz w:val="31"/>
          <w:szCs w:val="31"/>
          <w:shd w:val="clear" w:color="auto" w:fill="FFFFFF"/>
        </w:rPr>
        <w:t>Процентные ставки по операциям Банка России</w:t>
      </w: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9E416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(% годовых)</w:t>
      </w:r>
    </w:p>
    <w:tbl>
      <w:tblPr>
        <w:tblW w:w="9955" w:type="dxa"/>
        <w:tblCellSpacing w:w="15" w:type="dxa"/>
        <w:tblInd w:w="-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77"/>
        <w:gridCol w:w="1722"/>
        <w:gridCol w:w="1982"/>
        <w:gridCol w:w="1791"/>
        <w:gridCol w:w="1198"/>
        <w:gridCol w:w="1084"/>
        <w:gridCol w:w="142"/>
        <w:gridCol w:w="259"/>
      </w:tblGrid>
      <w:tr w:rsidR="009E4163" w:rsidRPr="009E4163" w:rsidTr="009E4163">
        <w:trPr>
          <w:gridAfter w:val="1"/>
          <w:wAfter w:w="214" w:type="dxa"/>
          <w:tblCellSpacing w:w="15" w:type="dxa"/>
        </w:trPr>
        <w:tc>
          <w:tcPr>
            <w:tcW w:w="1732" w:type="dxa"/>
            <w:tcBorders>
              <w:bottom w:val="single" w:sz="6" w:space="0" w:color="B5B9A2"/>
            </w:tcBorders>
            <w:tcMar>
              <w:top w:w="156" w:type="dxa"/>
              <w:left w:w="0" w:type="dxa"/>
              <w:bottom w:w="156" w:type="dxa"/>
              <w:right w:w="182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41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692" w:type="dxa"/>
            <w:tcBorders>
              <w:bottom w:val="single" w:sz="6" w:space="0" w:color="B5B9A2"/>
            </w:tcBorders>
            <w:noWrap/>
            <w:tcMar>
              <w:top w:w="156" w:type="dxa"/>
              <w:left w:w="182" w:type="dxa"/>
              <w:bottom w:w="156" w:type="dxa"/>
              <w:right w:w="182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41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инструмента</w:t>
            </w:r>
          </w:p>
        </w:tc>
        <w:tc>
          <w:tcPr>
            <w:tcW w:w="1952" w:type="dxa"/>
            <w:tcBorders>
              <w:bottom w:val="single" w:sz="6" w:space="0" w:color="B5B9A2"/>
            </w:tcBorders>
            <w:tcMar>
              <w:top w:w="156" w:type="dxa"/>
              <w:left w:w="0" w:type="dxa"/>
              <w:bottom w:w="156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41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Инструмент</w:t>
            </w:r>
          </w:p>
        </w:tc>
        <w:tc>
          <w:tcPr>
            <w:tcW w:w="1761" w:type="dxa"/>
            <w:tcBorders>
              <w:bottom w:val="single" w:sz="6" w:space="0" w:color="B5B9A2"/>
            </w:tcBorders>
            <w:noWrap/>
            <w:tcMar>
              <w:top w:w="156" w:type="dxa"/>
              <w:left w:w="0" w:type="dxa"/>
              <w:bottom w:w="156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41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</w:t>
            </w:r>
          </w:p>
        </w:tc>
        <w:tc>
          <w:tcPr>
            <w:tcW w:w="1168" w:type="dxa"/>
            <w:tcBorders>
              <w:bottom w:val="single" w:sz="6" w:space="0" w:color="B5B9A2"/>
            </w:tcBorders>
            <w:tcMar>
              <w:top w:w="156" w:type="dxa"/>
              <w:left w:w="0" w:type="dxa"/>
              <w:bottom w:w="156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E41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proofErr w:type="spellEnd"/>
            <w:r w:rsidRPr="009E41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19.09.2016</w:t>
            </w:r>
          </w:p>
        </w:tc>
        <w:tc>
          <w:tcPr>
            <w:tcW w:w="1054" w:type="dxa"/>
            <w:tcBorders>
              <w:bottom w:val="single" w:sz="6" w:space="0" w:color="B5B9A2"/>
            </w:tcBorders>
            <w:tcMar>
              <w:top w:w="156" w:type="dxa"/>
              <w:left w:w="0" w:type="dxa"/>
              <w:bottom w:w="156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E41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proofErr w:type="spellEnd"/>
            <w:r w:rsidRPr="009E41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27.03.2017</w:t>
            </w:r>
          </w:p>
        </w:tc>
        <w:tc>
          <w:tcPr>
            <w:tcW w:w="112" w:type="dxa"/>
            <w:tcBorders>
              <w:bottom w:val="single" w:sz="6" w:space="0" w:color="B5B9A2"/>
            </w:tcBorders>
            <w:tcMar>
              <w:top w:w="156" w:type="dxa"/>
              <w:left w:w="0" w:type="dxa"/>
              <w:bottom w:w="156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E4163" w:rsidRPr="009E4163" w:rsidTr="009E4163">
        <w:trPr>
          <w:tblCellSpacing w:w="15" w:type="dxa"/>
        </w:trPr>
        <w:tc>
          <w:tcPr>
            <w:tcW w:w="1732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Предоставление ликвидности</w:t>
            </w:r>
          </w:p>
        </w:tc>
        <w:tc>
          <w:tcPr>
            <w:tcW w:w="1692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Операции постоянного действия</w:t>
            </w:r>
          </w:p>
        </w:tc>
        <w:tc>
          <w:tcPr>
            <w:tcW w:w="195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Кредиты «</w:t>
            </w:r>
            <w:proofErr w:type="spellStart"/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овернайт</w:t>
            </w:r>
            <w:proofErr w:type="spellEnd"/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»; сделки «валютный своп»</w:t>
            </w:r>
            <w:r w:rsidRPr="009E416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1</w:t>
            </w: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; ломбардные кредиты; РЕПО</w:t>
            </w:r>
          </w:p>
        </w:tc>
        <w:tc>
          <w:tcPr>
            <w:tcW w:w="1761" w:type="dxa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1 день</w:t>
            </w:r>
          </w:p>
        </w:tc>
        <w:tc>
          <w:tcPr>
            <w:tcW w:w="1168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11,00</w:t>
            </w:r>
          </w:p>
        </w:tc>
        <w:tc>
          <w:tcPr>
            <w:tcW w:w="1054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10,75</w:t>
            </w:r>
          </w:p>
        </w:tc>
        <w:tc>
          <w:tcPr>
            <w:tcW w:w="356" w:type="dxa"/>
            <w:gridSpan w:val="2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E4163" w:rsidRPr="009E4163" w:rsidTr="009E4163">
        <w:trPr>
          <w:tblCellSpacing w:w="15" w:type="dxa"/>
        </w:trPr>
        <w:tc>
          <w:tcPr>
            <w:tcW w:w="173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2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Кредиты, обеспеченные золотом</w:t>
            </w:r>
          </w:p>
        </w:tc>
        <w:tc>
          <w:tcPr>
            <w:tcW w:w="1761" w:type="dxa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1 день</w:t>
            </w:r>
          </w:p>
        </w:tc>
        <w:tc>
          <w:tcPr>
            <w:tcW w:w="1168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11,00</w:t>
            </w:r>
          </w:p>
        </w:tc>
        <w:tc>
          <w:tcPr>
            <w:tcW w:w="1054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10,75</w:t>
            </w:r>
          </w:p>
        </w:tc>
        <w:tc>
          <w:tcPr>
            <w:tcW w:w="356" w:type="dxa"/>
            <w:gridSpan w:val="2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E4163" w:rsidRPr="009E4163" w:rsidTr="009E4163">
        <w:trPr>
          <w:tblCellSpacing w:w="15" w:type="dxa"/>
        </w:trPr>
        <w:tc>
          <w:tcPr>
            <w:tcW w:w="173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1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от 2 до 549 дней</w:t>
            </w:r>
            <w:proofErr w:type="gramStart"/>
            <w:r w:rsidRPr="009E416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1168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11,50</w:t>
            </w:r>
          </w:p>
        </w:tc>
        <w:tc>
          <w:tcPr>
            <w:tcW w:w="1054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11,25</w:t>
            </w:r>
          </w:p>
        </w:tc>
        <w:tc>
          <w:tcPr>
            <w:tcW w:w="356" w:type="dxa"/>
            <w:gridSpan w:val="2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E4163" w:rsidRPr="009E4163" w:rsidTr="009E4163">
        <w:trPr>
          <w:tblCellSpacing w:w="15" w:type="dxa"/>
        </w:trPr>
        <w:tc>
          <w:tcPr>
            <w:tcW w:w="173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2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Кредиты, обеспеченные нерыночными активами или поручительствами</w:t>
            </w:r>
          </w:p>
        </w:tc>
        <w:tc>
          <w:tcPr>
            <w:tcW w:w="1761" w:type="dxa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1 день</w:t>
            </w:r>
          </w:p>
        </w:tc>
        <w:tc>
          <w:tcPr>
            <w:tcW w:w="1168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11,00</w:t>
            </w:r>
          </w:p>
        </w:tc>
        <w:tc>
          <w:tcPr>
            <w:tcW w:w="1054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10,75</w:t>
            </w:r>
          </w:p>
        </w:tc>
        <w:tc>
          <w:tcPr>
            <w:tcW w:w="356" w:type="dxa"/>
            <w:gridSpan w:val="2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E4163" w:rsidRPr="009E4163" w:rsidTr="009E4163">
        <w:trPr>
          <w:tblCellSpacing w:w="15" w:type="dxa"/>
        </w:trPr>
        <w:tc>
          <w:tcPr>
            <w:tcW w:w="173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1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от 2 до 549 дней</w:t>
            </w:r>
            <w:proofErr w:type="gramStart"/>
            <w:r w:rsidRPr="009E416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1168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11,75</w:t>
            </w:r>
          </w:p>
        </w:tc>
        <w:tc>
          <w:tcPr>
            <w:tcW w:w="1054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11,50</w:t>
            </w:r>
          </w:p>
        </w:tc>
        <w:tc>
          <w:tcPr>
            <w:tcW w:w="356" w:type="dxa"/>
            <w:gridSpan w:val="2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E4163" w:rsidRPr="009E4163" w:rsidTr="009E4163">
        <w:trPr>
          <w:tblCellSpacing w:w="15" w:type="dxa"/>
        </w:trPr>
        <w:tc>
          <w:tcPr>
            <w:tcW w:w="173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Операции на открытом рынке (минимальные процентные ставки)</w:t>
            </w:r>
          </w:p>
        </w:tc>
        <w:tc>
          <w:tcPr>
            <w:tcW w:w="195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Аукционы по предоставлению кредитов, обеспеченных нерыночными активами</w:t>
            </w:r>
            <w:proofErr w:type="gramStart"/>
            <w:r w:rsidRPr="009E416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1761" w:type="dxa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от 1 до 3 недель</w:t>
            </w:r>
            <w:r w:rsidRPr="009E416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3</w:t>
            </w: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, 3 месяца, 18 месяцев</w:t>
            </w:r>
            <w:r w:rsidRPr="009E416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68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10,25</w:t>
            </w:r>
          </w:p>
        </w:tc>
        <w:tc>
          <w:tcPr>
            <w:tcW w:w="1054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10,00</w:t>
            </w:r>
          </w:p>
        </w:tc>
        <w:tc>
          <w:tcPr>
            <w:tcW w:w="356" w:type="dxa"/>
            <w:gridSpan w:val="2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E4163" w:rsidRPr="009E4163" w:rsidTr="009E4163">
        <w:trPr>
          <w:tblCellSpacing w:w="15" w:type="dxa"/>
        </w:trPr>
        <w:tc>
          <w:tcPr>
            <w:tcW w:w="173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Ломбардные кредитные аукционы</w:t>
            </w:r>
            <w:proofErr w:type="gramStart"/>
            <w:r w:rsidRPr="009E416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2</w:t>
            </w:r>
            <w:proofErr w:type="gramEnd"/>
            <w:r w:rsidRPr="009E416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, 3</w:t>
            </w:r>
          </w:p>
        </w:tc>
        <w:tc>
          <w:tcPr>
            <w:tcW w:w="1761" w:type="dxa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36 месяцев</w:t>
            </w:r>
          </w:p>
        </w:tc>
        <w:tc>
          <w:tcPr>
            <w:tcW w:w="1168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10,25</w:t>
            </w:r>
          </w:p>
        </w:tc>
        <w:tc>
          <w:tcPr>
            <w:tcW w:w="1054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10,00</w:t>
            </w:r>
          </w:p>
        </w:tc>
        <w:tc>
          <w:tcPr>
            <w:tcW w:w="356" w:type="dxa"/>
            <w:gridSpan w:val="2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E4163" w:rsidRPr="009E4163" w:rsidTr="009E4163">
        <w:trPr>
          <w:tblCellSpacing w:w="15" w:type="dxa"/>
        </w:trPr>
        <w:tc>
          <w:tcPr>
            <w:tcW w:w="173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Аукционы «валютный своп»</w:t>
            </w:r>
            <w:r w:rsidRPr="009E4163"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> </w:t>
            </w:r>
            <w:r w:rsidRPr="009E416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61" w:type="dxa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от 1 до 2 дней</w:t>
            </w:r>
            <w:proofErr w:type="gramStart"/>
            <w:r w:rsidRPr="009E416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</w:t>
            </w:r>
            <w:proofErr w:type="gramEnd"/>
          </w:p>
        </w:tc>
        <w:tc>
          <w:tcPr>
            <w:tcW w:w="1168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10,00 (ключевая ставка)</w:t>
            </w:r>
          </w:p>
        </w:tc>
        <w:tc>
          <w:tcPr>
            <w:tcW w:w="1054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9,75 (ключевая ставка)</w:t>
            </w:r>
          </w:p>
        </w:tc>
        <w:tc>
          <w:tcPr>
            <w:tcW w:w="356" w:type="dxa"/>
            <w:gridSpan w:val="2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E4163" w:rsidRPr="009E4163" w:rsidTr="009E4163">
        <w:trPr>
          <w:tblCellSpacing w:w="15" w:type="dxa"/>
        </w:trPr>
        <w:tc>
          <w:tcPr>
            <w:tcW w:w="173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Аукционы РЕПО</w:t>
            </w:r>
          </w:p>
        </w:tc>
        <w:tc>
          <w:tcPr>
            <w:tcW w:w="1761" w:type="dxa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от 1 до 6 дней</w:t>
            </w:r>
            <w:proofErr w:type="gramStart"/>
            <w:r w:rsidRPr="009E416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</w:t>
            </w:r>
            <w:proofErr w:type="gramEnd"/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, 1 неделя</w:t>
            </w:r>
          </w:p>
        </w:tc>
        <w:tc>
          <w:tcPr>
            <w:tcW w:w="1168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" w:type="dxa"/>
            <w:gridSpan w:val="2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E4163" w:rsidRPr="009E4163" w:rsidTr="009E4163">
        <w:trPr>
          <w:tblCellSpacing w:w="15" w:type="dxa"/>
        </w:trPr>
        <w:tc>
          <w:tcPr>
            <w:tcW w:w="1732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Абсорбирование</w:t>
            </w:r>
            <w:proofErr w:type="spellEnd"/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ликвидности</w:t>
            </w:r>
          </w:p>
        </w:tc>
        <w:tc>
          <w:tcPr>
            <w:tcW w:w="169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Операции на открытом рынке (максимальные процентные ставки)</w:t>
            </w:r>
          </w:p>
        </w:tc>
        <w:tc>
          <w:tcPr>
            <w:tcW w:w="195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Депозитные аукционы</w:t>
            </w:r>
          </w:p>
        </w:tc>
        <w:tc>
          <w:tcPr>
            <w:tcW w:w="1761" w:type="dxa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от 1 до 6 дней</w:t>
            </w:r>
            <w:proofErr w:type="gramStart"/>
            <w:r w:rsidRPr="009E416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</w:t>
            </w:r>
            <w:proofErr w:type="gramEnd"/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, 1 неделя</w:t>
            </w:r>
          </w:p>
        </w:tc>
        <w:tc>
          <w:tcPr>
            <w:tcW w:w="1168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" w:type="dxa"/>
            <w:gridSpan w:val="2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E4163" w:rsidRPr="009E4163" w:rsidTr="009E4163">
        <w:trPr>
          <w:tblCellSpacing w:w="15" w:type="dxa"/>
        </w:trPr>
        <w:tc>
          <w:tcPr>
            <w:tcW w:w="173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Операции постоянного действия</w:t>
            </w:r>
          </w:p>
        </w:tc>
        <w:tc>
          <w:tcPr>
            <w:tcW w:w="1952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Депозитные операции</w:t>
            </w:r>
          </w:p>
        </w:tc>
        <w:tc>
          <w:tcPr>
            <w:tcW w:w="1761" w:type="dxa"/>
            <w:vMerge w:val="restart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1 день, до востребования</w:t>
            </w:r>
          </w:p>
        </w:tc>
        <w:tc>
          <w:tcPr>
            <w:tcW w:w="1168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9,00</w:t>
            </w:r>
          </w:p>
        </w:tc>
        <w:tc>
          <w:tcPr>
            <w:tcW w:w="1054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8,75</w:t>
            </w:r>
          </w:p>
        </w:tc>
        <w:tc>
          <w:tcPr>
            <w:tcW w:w="356" w:type="dxa"/>
            <w:gridSpan w:val="2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E4163" w:rsidRPr="009E4163" w:rsidTr="009E4163">
        <w:trPr>
          <w:tblCellSpacing w:w="15" w:type="dxa"/>
        </w:trPr>
        <w:tc>
          <w:tcPr>
            <w:tcW w:w="173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2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" w:type="dxa"/>
            <w:gridSpan w:val="2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E4163" w:rsidRPr="009E4163" w:rsidTr="009E4163">
        <w:trPr>
          <w:tblCellSpacing w:w="15" w:type="dxa"/>
        </w:trPr>
        <w:tc>
          <w:tcPr>
            <w:tcW w:w="9509" w:type="dxa"/>
            <w:gridSpan w:val="6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Справочно</w:t>
            </w:r>
            <w:proofErr w:type="spellEnd"/>
            <w:r w:rsidRPr="009E4163"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hyperlink r:id="rId7" w:tgtFrame="_blank" w:history="1">
              <w:r w:rsidRPr="009E4163">
                <w:rPr>
                  <w:rFonts w:ascii="Times New Roman" w:eastAsia="Times New Roman" w:hAnsi="Times New Roman" w:cs="Times New Roman"/>
                  <w:color w:val="990099"/>
                  <w:sz w:val="19"/>
                  <w:u w:val="single"/>
                </w:rPr>
                <w:t>Ставка рефинансирования</w:t>
              </w:r>
            </w:hyperlink>
            <w:r w:rsidRPr="009E4163">
              <w:rPr>
                <w:rFonts w:ascii="Times New Roman" w:eastAsia="Times New Roman" w:hAnsi="Times New Roman" w:cs="Times New Roman"/>
                <w:sz w:val="19"/>
                <w:u w:val="single"/>
              </w:rPr>
              <w:t> </w:t>
            </w:r>
            <w:r w:rsidRPr="009E416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356" w:type="dxa"/>
            <w:gridSpan w:val="2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shd w:val="clear" w:color="auto" w:fill="FFFFFF"/>
        </w:rPr>
      </w:pPr>
    </w:p>
    <w:tbl>
      <w:tblPr>
        <w:tblW w:w="9928" w:type="dxa"/>
        <w:tblCellSpacing w:w="15" w:type="dxa"/>
        <w:tblInd w:w="-168" w:type="dxa"/>
        <w:tblCellMar>
          <w:left w:w="0" w:type="dxa"/>
          <w:right w:w="0" w:type="dxa"/>
        </w:tblCellMar>
        <w:tblLook w:val="04A0"/>
      </w:tblPr>
      <w:tblGrid>
        <w:gridCol w:w="9169"/>
        <w:gridCol w:w="372"/>
        <w:gridCol w:w="387"/>
      </w:tblGrid>
      <w:tr w:rsidR="009E4163" w:rsidRPr="009E4163" w:rsidTr="009E4163">
        <w:trPr>
          <w:tblCellSpacing w:w="15" w:type="dxa"/>
        </w:trPr>
        <w:tc>
          <w:tcPr>
            <w:tcW w:w="9868" w:type="dxa"/>
            <w:gridSpan w:val="3"/>
            <w:tcMar>
              <w:top w:w="156" w:type="dxa"/>
              <w:left w:w="182" w:type="dxa"/>
              <w:bottom w:w="156" w:type="dxa"/>
              <w:right w:w="182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163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vertAlign w:val="superscript"/>
              </w:rPr>
              <w:t>1</w:t>
            </w:r>
            <w:r w:rsidRPr="009E41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Указана процентная ставка по рублевой части; процентная ставка по валютной части приравнена к процентным ставкам LIBOR по кредитам на срок 1 день в соответствующих иностранных валютах.</w:t>
            </w:r>
          </w:p>
        </w:tc>
      </w:tr>
      <w:tr w:rsidR="009E4163" w:rsidRPr="009E4163" w:rsidTr="009E4163">
        <w:trPr>
          <w:tblCellSpacing w:w="15" w:type="dxa"/>
        </w:trPr>
        <w:tc>
          <w:tcPr>
            <w:tcW w:w="9124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perscript"/>
              </w:rPr>
              <w:t>2</w:t>
            </w:r>
            <w:r w:rsidRPr="009E416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 Кредиты, предоставляемые по плавающей процентной ставке, привязанной к уровню ключевой ставки Банка России.</w:t>
            </w:r>
          </w:p>
        </w:tc>
        <w:tc>
          <w:tcPr>
            <w:tcW w:w="0" w:type="auto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E4163" w:rsidRPr="009E4163" w:rsidTr="009E4163">
        <w:trPr>
          <w:tblCellSpacing w:w="15" w:type="dxa"/>
        </w:trPr>
        <w:tc>
          <w:tcPr>
            <w:tcW w:w="9124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perscript"/>
              </w:rPr>
              <w:t>3</w:t>
            </w:r>
            <w:r w:rsidRPr="009E416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 Проведение аукционов приостановлено с 01.07.2016.</w:t>
            </w:r>
          </w:p>
        </w:tc>
        <w:tc>
          <w:tcPr>
            <w:tcW w:w="0" w:type="auto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E4163" w:rsidRPr="009E4163" w:rsidTr="009E4163">
        <w:trPr>
          <w:tblCellSpacing w:w="15" w:type="dxa"/>
        </w:trPr>
        <w:tc>
          <w:tcPr>
            <w:tcW w:w="9124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perscript"/>
              </w:rPr>
              <w:t>4</w:t>
            </w:r>
            <w:r w:rsidRPr="009E416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 Операции «тонкой настройки».</w:t>
            </w:r>
          </w:p>
        </w:tc>
        <w:tc>
          <w:tcPr>
            <w:tcW w:w="0" w:type="auto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E4163" w:rsidRPr="009E4163" w:rsidTr="009E4163">
        <w:trPr>
          <w:tblCellSpacing w:w="15" w:type="dxa"/>
        </w:trPr>
        <w:tc>
          <w:tcPr>
            <w:tcW w:w="9124" w:type="dxa"/>
            <w:shd w:val="clear" w:color="auto" w:fill="F7F3EB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416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perscript"/>
              </w:rPr>
              <w:t>5 </w:t>
            </w:r>
            <w:r w:rsidRPr="009E416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Значение ставки рефинансирования Банка России с 01.01.2016 года</w:t>
            </w:r>
            <w:r w:rsidRPr="009E4163">
              <w:rPr>
                <w:rFonts w:ascii="Times New Roman" w:eastAsia="Times New Roman" w:hAnsi="Times New Roman" w:cs="Times New Roman"/>
                <w:i/>
                <w:iCs/>
                <w:sz w:val="19"/>
              </w:rPr>
              <w:t> </w:t>
            </w:r>
            <w:hyperlink r:id="rId8" w:tgtFrame="_blank" w:history="1">
              <w:r w:rsidRPr="009E4163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19"/>
                  <w:u w:val="single"/>
                </w:rPr>
                <w:t>приравнено</w:t>
              </w:r>
            </w:hyperlink>
            <w:r w:rsidRPr="009E4163">
              <w:rPr>
                <w:rFonts w:ascii="Times New Roman" w:eastAsia="Times New Roman" w:hAnsi="Times New Roman" w:cs="Times New Roman"/>
                <w:sz w:val="19"/>
                <w:u w:val="single"/>
              </w:rPr>
              <w:t> </w:t>
            </w:r>
            <w:r w:rsidRPr="009E416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к значению ключевой ставки Банка России на соответствующую дату. С 01.01.2016 самостоятельное значение ставки рефинансирования не устанавливается.</w:t>
            </w:r>
            <w:r w:rsidRPr="009E4163">
              <w:rPr>
                <w:rFonts w:ascii="Times New Roman" w:eastAsia="Times New Roman" w:hAnsi="Times New Roman" w:cs="Times New Roman"/>
                <w:i/>
                <w:iCs/>
                <w:sz w:val="19"/>
              </w:rPr>
              <w:t> </w:t>
            </w:r>
            <w:hyperlink r:id="rId9" w:tgtFrame="_blank" w:history="1">
              <w:r w:rsidRPr="009E4163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19"/>
                  <w:u w:val="single"/>
                </w:rPr>
                <w:t>Значения ставки рефинансирования до 01.01.2016</w:t>
              </w:r>
            </w:hyperlink>
          </w:p>
        </w:tc>
        <w:tc>
          <w:tcPr>
            <w:tcW w:w="0" w:type="auto"/>
            <w:shd w:val="clear" w:color="auto" w:fill="F7F3EB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7F3EB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E4163" w:rsidRPr="009E4163" w:rsidTr="009E4163">
        <w:trPr>
          <w:tblCellSpacing w:w="15" w:type="dxa"/>
        </w:trPr>
        <w:tc>
          <w:tcPr>
            <w:tcW w:w="9124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10" w:tgtFrame="_blank" w:history="1">
              <w:r w:rsidRPr="009E4163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19"/>
                  <w:u w:val="single"/>
                </w:rPr>
                <w:t>Процентные ставки по операциям Банка России, проведение которых приостановлено</w:t>
              </w:r>
            </w:hyperlink>
          </w:p>
        </w:tc>
        <w:tc>
          <w:tcPr>
            <w:tcW w:w="0" w:type="auto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9E4163" w:rsidRPr="009E4163" w:rsidRDefault="009E4163" w:rsidP="009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9E4163" w:rsidRPr="009E4163" w:rsidRDefault="009E4163" w:rsidP="009E41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163">
        <w:rPr>
          <w:rFonts w:ascii="Arial" w:eastAsia="Times New Roman" w:hAnsi="Arial" w:cs="Arial"/>
          <w:i/>
          <w:iCs/>
          <w:color w:val="000000"/>
          <w:sz w:val="21"/>
        </w:rPr>
        <w:t>24 марта 2017 года</w:t>
      </w:r>
    </w:p>
    <w:p w:rsidR="00B01509" w:rsidRDefault="00B01509"/>
    <w:sectPr w:rsidR="00B0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4163"/>
    <w:rsid w:val="009E4163"/>
    <w:rsid w:val="00B0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4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16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enter">
    <w:name w:val="center"/>
    <w:basedOn w:val="a"/>
    <w:rsid w:val="009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E4163"/>
    <w:rPr>
      <w:b/>
      <w:bCs/>
    </w:rPr>
  </w:style>
  <w:style w:type="character" w:styleId="a4">
    <w:name w:val="Hyperlink"/>
    <w:basedOn w:val="a0"/>
    <w:uiPriority w:val="99"/>
    <w:semiHidden/>
    <w:unhideWhenUsed/>
    <w:rsid w:val="009E41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4163"/>
  </w:style>
  <w:style w:type="character" w:styleId="a6">
    <w:name w:val="Emphasis"/>
    <w:basedOn w:val="a0"/>
    <w:uiPriority w:val="20"/>
    <w:qFormat/>
    <w:rsid w:val="009E41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114">
          <w:marLeft w:val="0"/>
          <w:marRight w:val="0"/>
          <w:marTop w:val="132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815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DKP/standart_system/3894-u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br.ru/pw.aspx?file=/statistics/credit_statistics/refinancing_rates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DKP/?PrtId=cal_m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br.ru/DKP/print.aspx?file=standart_system/rates_table_17.htm&amp;pid=dkp&amp;sid=ITM_49976" TargetMode="External"/><Relationship Id="rId10" Type="http://schemas.openxmlformats.org/officeDocument/2006/relationships/hyperlink" Target="http://www.cbr.ru/DKP/standart_system/rates_table.pdf" TargetMode="External"/><Relationship Id="rId4" Type="http://schemas.openxmlformats.org/officeDocument/2006/relationships/hyperlink" Target="http://www.cbr.ru/" TargetMode="External"/><Relationship Id="rId9" Type="http://schemas.openxmlformats.org/officeDocument/2006/relationships/hyperlink" Target="http://www.cbr.ru/pw.aspx?file=/statistics/credit_statistics/refinancing_rat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2017-03-29T05:20:00Z</dcterms:created>
  <dcterms:modified xsi:type="dcterms:W3CDTF">2017-03-29T05:22:00Z</dcterms:modified>
</cp:coreProperties>
</file>